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A049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403"/>
        <w:gridCol w:w="2838"/>
        <w:gridCol w:w="2835"/>
      </w:tblGrid>
      <w:tr w:rsidR="00E43975" w14:paraId="0331888B" w14:textId="77777777" w:rsidTr="00332ABC">
        <w:trPr>
          <w:cantSplit/>
          <w:trHeight w:val="851"/>
        </w:trPr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3110DBF9" w14:textId="77777777" w:rsidR="00E43975" w:rsidRDefault="00E43975">
            <w:pPr>
              <w:spacing w:after="8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vAlign w:val="bottom"/>
          </w:tcPr>
          <w:p w14:paraId="6ED3B5EC" w14:textId="53A26BFB" w:rsidR="00E43975" w:rsidRPr="00332ABC" w:rsidRDefault="006D1F44">
            <w:pPr>
              <w:spacing w:after="80" w:line="300" w:lineRule="auto"/>
              <w:ind w:right="-146"/>
              <w:rPr>
                <w:rFonts w:ascii="Merriweather" w:eastAsia="Merriweather" w:hAnsi="Merriweather" w:cs="Merriweather"/>
                <w:b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გაერთიანებული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ერები</w:t>
            </w:r>
            <w:r w:rsidR="00332ABC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3" w:type="dxa"/>
            <w:gridSpan w:val="2"/>
            <w:tcBorders>
              <w:bottom w:val="single" w:sz="4" w:space="0" w:color="000000"/>
            </w:tcBorders>
            <w:vAlign w:val="bottom"/>
          </w:tcPr>
          <w:p w14:paraId="4AF7101A" w14:textId="77777777" w:rsidR="00E43975" w:rsidRDefault="006D1F44">
            <w:pPr>
              <w:spacing w:after="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40"/>
                <w:szCs w:val="40"/>
              </w:rPr>
              <w:t xml:space="preserve">                           CRPD</w:t>
            </w:r>
            <w:r>
              <w:rPr>
                <w:rFonts w:ascii="Merriweather" w:eastAsia="Merriweather" w:hAnsi="Merriweather" w:cs="Merriweather"/>
              </w:rPr>
              <w:t>/C/17/D/14/2013</w:t>
            </w:r>
          </w:p>
        </w:tc>
      </w:tr>
      <w:tr w:rsidR="00E43975" w14:paraId="57EE2A19" w14:textId="77777777" w:rsidTr="00332ABC">
        <w:trPr>
          <w:cantSplit/>
          <w:trHeight w:val="2835"/>
        </w:trPr>
        <w:tc>
          <w:tcPr>
            <w:tcW w:w="1842" w:type="dxa"/>
            <w:tcBorders>
              <w:top w:val="single" w:sz="4" w:space="0" w:color="000000"/>
              <w:bottom w:val="single" w:sz="12" w:space="0" w:color="000000"/>
            </w:tcBorders>
          </w:tcPr>
          <w:p w14:paraId="1E5000D5" w14:textId="77777777" w:rsidR="00E43975" w:rsidRDefault="006D1F44">
            <w:pPr>
              <w:spacing w:before="12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noProof/>
              </w:rPr>
              <w:drawing>
                <wp:inline distT="0" distB="0" distL="0" distR="0" wp14:anchorId="5866CBDB" wp14:editId="7AA76FB7">
                  <wp:extent cx="714375" cy="590550"/>
                  <wp:effectExtent l="0" t="0" r="0" b="0"/>
                  <wp:docPr id="2" name="image1.png" descr="_un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_un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7E3CB808" w14:textId="77777777" w:rsidR="00E43975" w:rsidRDefault="006D1F44">
            <w:pPr>
              <w:spacing w:before="120" w:line="380" w:lineRule="auto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შეზღუდული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შესაძლებლობის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პირთა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უფლებების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კონვენცია</w:t>
            </w:r>
          </w:p>
          <w:p w14:paraId="7A6CF4C7" w14:textId="77777777" w:rsidR="00E43975" w:rsidRDefault="00E43975">
            <w:pPr>
              <w:spacing w:before="120" w:line="42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</w:tcBorders>
          </w:tcPr>
          <w:p w14:paraId="40F76975" w14:textId="77777777" w:rsidR="00E43975" w:rsidRDefault="006D1F44">
            <w:pPr>
              <w:spacing w:before="24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გავრცელება</w:t>
            </w:r>
            <w:r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>საყოველთაო</w:t>
            </w:r>
          </w:p>
          <w:p w14:paraId="6E958E62" w14:textId="77777777" w:rsidR="00E43975" w:rsidRDefault="006D1F44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19 </w:t>
            </w:r>
            <w:r>
              <w:rPr>
                <w:rFonts w:ascii="Arial Unicode MS" w:eastAsia="Arial Unicode MS" w:hAnsi="Arial Unicode MS" w:cs="Arial Unicode MS"/>
              </w:rPr>
              <w:t>მაისი</w:t>
            </w:r>
            <w:r>
              <w:rPr>
                <w:rFonts w:ascii="Arial Unicode MS" w:eastAsia="Arial Unicode MS" w:hAnsi="Arial Unicode MS" w:cs="Arial Unicode MS"/>
              </w:rPr>
              <w:t>, 2017</w:t>
            </w:r>
          </w:p>
          <w:p w14:paraId="7A84407B" w14:textId="77777777" w:rsidR="00E43975" w:rsidRDefault="00E43975">
            <w:pPr>
              <w:rPr>
                <w:rFonts w:ascii="Merriweather" w:eastAsia="Merriweather" w:hAnsi="Merriweather" w:cs="Merriweather"/>
              </w:rPr>
            </w:pPr>
          </w:p>
          <w:p w14:paraId="3EAAAAB1" w14:textId="77777777" w:rsidR="00E43975" w:rsidRDefault="006D1F44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ორიგინალი</w:t>
            </w:r>
            <w:r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>ინგლისურ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ენაზე</w:t>
            </w:r>
          </w:p>
          <w:p w14:paraId="34631374" w14:textId="77777777" w:rsidR="00E43975" w:rsidRDefault="00E43975">
            <w:pPr>
              <w:rPr>
                <w:rFonts w:ascii="Merriweather" w:eastAsia="Merriweather" w:hAnsi="Merriweather" w:cs="Merriweather"/>
              </w:rPr>
            </w:pPr>
          </w:p>
        </w:tc>
      </w:tr>
    </w:tbl>
    <w:p w14:paraId="66D1DC91" w14:textId="77777777" w:rsidR="00E43975" w:rsidRDefault="006D1F44">
      <w:pPr>
        <w:spacing w:before="12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შეზღუდული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შესაძლებლობის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მქონე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პირთა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უფლებების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კომიტეტი</w:t>
      </w:r>
    </w:p>
    <w:p w14:paraId="1C079E90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360" w:after="240" w:line="300" w:lineRule="auto"/>
        <w:ind w:left="1134" w:right="1134" w:hanging="1134"/>
        <w:rPr>
          <w:rFonts w:ascii="Merriweather" w:eastAsia="Merriweather" w:hAnsi="Merriweather" w:cs="Merriweather"/>
          <w:color w:val="000000"/>
        </w:rPr>
      </w:pPr>
      <w:bookmarkStart w:id="0" w:name="_gjdgxs" w:colFirst="0" w:colLast="0"/>
      <w:bookmarkEnd w:id="0"/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კომიტეტის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მიერ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ფაკულტატური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ოქმის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მეხუთე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მუხლის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თანახმად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მიღებული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გადაწყვეტილება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, No. 14/2013</w:t>
      </w:r>
      <w:r>
        <w:rPr>
          <w:rFonts w:ascii="Merriweather" w:eastAsia="Merriweather" w:hAnsi="Merriweather" w:cs="Merriweather"/>
          <w:color w:val="000000"/>
          <w:vertAlign w:val="superscript"/>
        </w:rPr>
        <w:footnoteReference w:id="1"/>
      </w:r>
      <w:r>
        <w:rPr>
          <w:rFonts w:ascii="Merriweather" w:eastAsia="Merriweather" w:hAnsi="Merriweather" w:cs="Merriweather"/>
          <w:color w:val="000000"/>
        </w:rPr>
        <w:t>*</w:t>
      </w:r>
      <w:r>
        <w:rPr>
          <w:rFonts w:ascii="Merriweather" w:eastAsia="Merriweather" w:hAnsi="Merriweather" w:cs="Merriweather"/>
          <w:color w:val="000000"/>
          <w:sz w:val="33"/>
          <w:szCs w:val="33"/>
          <w:vertAlign w:val="superscript"/>
        </w:rPr>
        <w:t xml:space="preserve">, </w:t>
      </w:r>
      <w:r>
        <w:rPr>
          <w:rFonts w:ascii="Merriweather" w:eastAsia="Merriweather" w:hAnsi="Merriweather" w:cs="Merriweather"/>
          <w:color w:val="000000"/>
          <w:vertAlign w:val="superscript"/>
        </w:rPr>
        <w:footnoteReference w:id="2"/>
      </w:r>
      <w:r>
        <w:rPr>
          <w:rFonts w:ascii="Merriweather" w:eastAsia="Merriweather" w:hAnsi="Merriweather" w:cs="Merriweather"/>
          <w:color w:val="000000"/>
        </w:rPr>
        <w:t xml:space="preserve">**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შეტყობინების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შესახებ</w:t>
      </w:r>
    </w:p>
    <w:p w14:paraId="6B5AC5C3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წარმდგენი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>. (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ადვოკატი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ფილიპ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ფრენჩი</w:t>
      </w:r>
      <w:r>
        <w:rPr>
          <w:rFonts w:ascii="Arial Unicode MS" w:eastAsia="Arial Unicode MS" w:hAnsi="Arial Unicode MS" w:cs="Arial Unicode MS"/>
          <w:color w:val="000000"/>
        </w:rPr>
        <w:t>)</w:t>
      </w:r>
    </w:p>
    <w:p w14:paraId="1461C6A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სავარაუდო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დაზარალებული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</w:p>
    <w:p w14:paraId="060F7FA4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მხარე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ავსტრალია</w:t>
      </w:r>
    </w:p>
    <w:p w14:paraId="1BA0712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წარდგენის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თარიღი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14 </w:t>
      </w:r>
      <w:r>
        <w:rPr>
          <w:rFonts w:ascii="Arial Unicode MS" w:eastAsia="Arial Unicode MS" w:hAnsi="Arial Unicode MS" w:cs="Arial Unicode MS"/>
          <w:color w:val="000000"/>
        </w:rPr>
        <w:t>აგვისტო</w:t>
      </w:r>
      <w:r>
        <w:rPr>
          <w:rFonts w:ascii="Arial Unicode MS" w:eastAsia="Arial Unicode MS" w:hAnsi="Arial Unicode MS" w:cs="Arial Unicode MS"/>
          <w:color w:val="000000"/>
        </w:rPr>
        <w:t>, 2013 (</w:t>
      </w:r>
      <w:r>
        <w:rPr>
          <w:rFonts w:ascii="Arial Unicode MS" w:eastAsia="Arial Unicode MS" w:hAnsi="Arial Unicode MS" w:cs="Arial Unicode MS"/>
          <w:color w:val="000000"/>
        </w:rPr>
        <w:t>თავდაპირველი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წარდგენა</w:t>
      </w:r>
      <w:r>
        <w:rPr>
          <w:rFonts w:ascii="Arial Unicode MS" w:eastAsia="Arial Unicode MS" w:hAnsi="Arial Unicode MS" w:cs="Arial Unicode MS"/>
          <w:color w:val="000000"/>
        </w:rPr>
        <w:t>)</w:t>
      </w:r>
    </w:p>
    <w:p w14:paraId="7522807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გამოყენებული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დოკუმენტები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სპეციალური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მომხსენებლის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70-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გაეგზავნა</w:t>
      </w:r>
      <w:r>
        <w:rPr>
          <w:rFonts w:ascii="Arial Unicode MS" w:eastAsia="Arial Unicode MS" w:hAnsi="Arial Unicode MS" w:cs="Arial Unicode MS"/>
          <w:color w:val="000000"/>
        </w:rPr>
        <w:t xml:space="preserve"> 2012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9 </w:t>
      </w:r>
      <w:r>
        <w:rPr>
          <w:rFonts w:ascii="Arial Unicode MS" w:eastAsia="Arial Unicode MS" w:hAnsi="Arial Unicode MS" w:cs="Arial Unicode MS"/>
          <w:color w:val="000000"/>
        </w:rPr>
        <w:t>აგვისტოს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გამოცემულა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დოკუმენტის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სახით</w:t>
      </w:r>
      <w:r>
        <w:rPr>
          <w:rFonts w:ascii="Arial Unicode MS" w:eastAsia="Arial Unicode MS" w:hAnsi="Arial Unicode MS" w:cs="Arial Unicode MS"/>
          <w:color w:val="000000"/>
        </w:rPr>
        <w:t>)</w:t>
      </w:r>
    </w:p>
    <w:p w14:paraId="47A7737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თარიღი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24 </w:t>
      </w:r>
      <w:r>
        <w:rPr>
          <w:rFonts w:ascii="Arial Unicode MS" w:eastAsia="Arial Unicode MS" w:hAnsi="Arial Unicode MS" w:cs="Arial Unicode MS"/>
          <w:color w:val="000000"/>
        </w:rPr>
        <w:t>მარტი</w:t>
      </w:r>
      <w:r>
        <w:rPr>
          <w:rFonts w:ascii="Arial Unicode MS" w:eastAsia="Arial Unicode MS" w:hAnsi="Arial Unicode MS" w:cs="Arial Unicode MS"/>
          <w:color w:val="000000"/>
        </w:rPr>
        <w:t>, 2017</w:t>
      </w:r>
    </w:p>
    <w:p w14:paraId="7E060122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თემა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ინტელექტუალური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მენტალური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</w:t>
      </w:r>
      <w:r>
        <w:rPr>
          <w:rFonts w:ascii="Arial Unicode MS" w:eastAsia="Arial Unicode MS" w:hAnsi="Arial Unicode MS" w:cs="Arial Unicode MS"/>
          <w:color w:val="000000"/>
        </w:rPr>
        <w:t>ეზღუდვის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ინსტიტუციონალიზაცია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მისაწვდომობა</w:t>
      </w:r>
    </w:p>
    <w:p w14:paraId="4766722F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პროცედურული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საკითხები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დასაშვებობა</w:t>
      </w:r>
      <w:r>
        <w:rPr>
          <w:rFonts w:ascii="Arial Unicode MS" w:eastAsia="Arial Unicode MS" w:hAnsi="Arial Unicode MS" w:cs="Arial Unicode MS"/>
          <w:color w:val="000000"/>
        </w:rPr>
        <w:t xml:space="preserve"> —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ამოწურვა</w:t>
      </w:r>
    </w:p>
    <w:p w14:paraId="4037403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არსებითი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საკითხები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</w:t>
      </w:r>
      <w:r>
        <w:rPr>
          <w:rFonts w:ascii="Arial Unicode MS" w:eastAsia="Arial Unicode MS" w:hAnsi="Arial Unicode MS" w:cs="Arial Unicode MS"/>
          <w:color w:val="000000"/>
        </w:rPr>
        <w:t>იანობის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გამოყენება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თავისუფლების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აღკვეთა</w:t>
      </w:r>
      <w:r>
        <w:rPr>
          <w:rFonts w:ascii="Arial Unicode MS" w:eastAsia="Arial Unicode MS" w:hAnsi="Arial Unicode MS" w:cs="Arial Unicode MS"/>
          <w:color w:val="000000"/>
        </w:rPr>
        <w:t xml:space="preserve">; 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შეზღუდვა</w:t>
      </w:r>
    </w:p>
    <w:p w14:paraId="22A7D20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მუხლები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4, 5 (2), 14, 18, 19, 22, 26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28</w:t>
      </w:r>
    </w:p>
    <w:p w14:paraId="1B31320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4536" w:right="1134" w:hanging="3402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ოქმის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>:</w:t>
      </w:r>
      <w:r>
        <w:rPr>
          <w:rFonts w:ascii="Merriweather" w:eastAsia="Merriweather" w:hAnsi="Merriweather" w:cs="Merriweather"/>
          <w:color w:val="000000"/>
        </w:rPr>
        <w:tab/>
      </w:r>
      <w:r>
        <w:rPr>
          <w:rFonts w:ascii="Merriweather" w:eastAsia="Merriweather" w:hAnsi="Merriweather" w:cs="Merriweather"/>
          <w:color w:val="000000"/>
        </w:rPr>
        <w:tab/>
        <w:t>2</w:t>
      </w:r>
    </w:p>
    <w:p w14:paraId="49592E6E" w14:textId="77777777" w:rsidR="00E43975" w:rsidRDefault="006D1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right="1134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ავტორია</w:t>
      </w:r>
      <w:r>
        <w:rPr>
          <w:rFonts w:ascii="Arial Unicode MS" w:eastAsia="Arial Unicode MS" w:hAnsi="Arial Unicode MS" w:cs="Arial Unicode MS"/>
          <w:color w:val="000000"/>
        </w:rPr>
        <w:t xml:space="preserve"> 1961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18 </w:t>
      </w:r>
      <w:r>
        <w:rPr>
          <w:rFonts w:ascii="Arial Unicode MS" w:eastAsia="Arial Unicode MS" w:hAnsi="Arial Unicode MS" w:cs="Arial Unicode MS"/>
          <w:color w:val="000000"/>
        </w:rPr>
        <w:t>მაისს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დაბადებული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მოქალაქე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1998 </w:t>
      </w:r>
      <w:r>
        <w:rPr>
          <w:rFonts w:ascii="Arial Unicode MS" w:eastAsia="Arial Unicode MS" w:hAnsi="Arial Unicode MS" w:cs="Arial Unicode MS"/>
          <w:color w:val="000000"/>
        </w:rPr>
        <w:t>წლიდან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მდებარე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შეძენილი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დაზიანებების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>-19,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ავსტრალიამ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</w:t>
      </w:r>
      <w:r>
        <w:rPr>
          <w:rFonts w:ascii="Arial Unicode MS" w:eastAsia="Arial Unicode MS" w:hAnsi="Arial Unicode MS" w:cs="Arial Unicode MS"/>
          <w:color w:val="000000"/>
        </w:rPr>
        <w:t xml:space="preserve"> 2009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19 </w:t>
      </w:r>
      <w:r>
        <w:rPr>
          <w:rFonts w:ascii="Arial Unicode MS" w:eastAsia="Arial Unicode MS" w:hAnsi="Arial Unicode MS" w:cs="Arial Unicode MS"/>
          <w:color w:val="000000"/>
        </w:rPr>
        <w:t>სექტემბერს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ფილიპ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ფრენჩი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ადვოკატია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ორგანიზაციაში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სამართალში</w:t>
      </w:r>
      <w:r>
        <w:rPr>
          <w:rFonts w:ascii="Arial Unicode MS" w:eastAsia="Arial Unicode MS" w:hAnsi="Arial Unicode MS" w:cs="Arial Unicode MS"/>
          <w:color w:val="000000"/>
        </w:rPr>
        <w:t>.“</w:t>
      </w:r>
    </w:p>
    <w:p w14:paraId="7D56FD69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360" w:after="240" w:line="270" w:lineRule="auto"/>
        <w:ind w:left="1134" w:right="1134" w:hanging="1134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  <w:t>A.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მხარეების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მიერ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წარმოდგენილი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ინფორმაციისა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არგუმენტების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შეჯამება</w:t>
      </w:r>
    </w:p>
    <w:p w14:paraId="0D44A1FA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მიერ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წარმოდგენილი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ფაქტობრივი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გარემოებები</w:t>
      </w:r>
    </w:p>
    <w:p w14:paraId="1D06BEF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 xml:space="preserve">. 52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მენტალური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ინტელექტუალური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დაზიანების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განუვითარდა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პენსიას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შემოსა</w:t>
      </w:r>
      <w:r>
        <w:rPr>
          <w:rFonts w:ascii="Arial Unicode MS" w:eastAsia="Arial Unicode MS" w:hAnsi="Arial Unicode MS" w:cs="Arial Unicode MS"/>
          <w:color w:val="000000"/>
        </w:rPr>
        <w:t>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. 1998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8 </w:t>
      </w:r>
      <w:r>
        <w:rPr>
          <w:rFonts w:ascii="Arial Unicode MS" w:eastAsia="Arial Unicode MS" w:hAnsi="Arial Unicode MS" w:cs="Arial Unicode MS"/>
          <w:color w:val="000000"/>
        </w:rPr>
        <w:t>ივლისს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შეძენილი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დაზიანებების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შეიყვანეს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ბრეკენ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რიჯში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ბრისბანის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გარეუბანში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მდებარეობს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იაკანა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ჩარლზის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საავადმყოფო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მართავს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უკანასკნელი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თავის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მხრივ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მმართველობის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სააგენტოს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ჯანდაცვა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ექვემდებარება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მისაღებად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მიიყვანეს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მიზანიც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უნარების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აღდგენისა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საშუალების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მიცემა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ამჟამად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იაბირუს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განყოფილებაშია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ხუთი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სივრცისგან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შედგება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თითოეულ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მათგანში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ერთკაციანი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საძინებელ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კომუნალური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საშხაპე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საპირფარეშო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დღის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აქტივობების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ოფისები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6D9376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2.2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2000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ივლისისთვის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პერსონალმა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უთხრა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დასრულდა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მალე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გაწერდნენ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</w:t>
      </w:r>
      <w:r>
        <w:rPr>
          <w:rFonts w:ascii="Arial Unicode MS" w:eastAsia="Arial Unicode MS" w:hAnsi="Arial Unicode MS" w:cs="Arial Unicode MS"/>
          <w:color w:val="000000"/>
        </w:rPr>
        <w:t>ვრეს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ყოფილიყო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მზად</w:t>
      </w:r>
      <w:r>
        <w:rPr>
          <w:rFonts w:ascii="Arial Unicode MS" w:eastAsia="Arial Unicode MS" w:hAnsi="Arial Unicode MS" w:cs="Arial Unicode MS"/>
          <w:color w:val="000000"/>
        </w:rPr>
        <w:t xml:space="preserve">. 2000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ივლისიდან</w:t>
      </w:r>
      <w:r>
        <w:rPr>
          <w:rFonts w:ascii="Arial Unicode MS" w:eastAsia="Arial Unicode MS" w:hAnsi="Arial Unicode MS" w:cs="Arial Unicode MS"/>
          <w:color w:val="000000"/>
        </w:rPr>
        <w:t xml:space="preserve"> 2010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აგვისტომდე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გააკეთეს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კომუ</w:t>
      </w:r>
      <w:r>
        <w:rPr>
          <w:rFonts w:ascii="Arial Unicode MS" w:eastAsia="Arial Unicode MS" w:hAnsi="Arial Unicode MS" w:cs="Arial Unicode MS"/>
          <w:color w:val="000000"/>
        </w:rPr>
        <w:t>ნალურ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არცერთი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მათგანი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წარმატებული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გაწერეს</w:t>
      </w:r>
      <w:r>
        <w:rPr>
          <w:rFonts w:ascii="Arial Unicode MS" w:eastAsia="Arial Unicode MS" w:hAnsi="Arial Unicode MS" w:cs="Arial Unicode MS"/>
          <w:color w:val="000000"/>
        </w:rPr>
        <w:t xml:space="preserve">. 2010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აგვისტოში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აპლიკაცია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</w:t>
      </w:r>
      <w:r>
        <w:rPr>
          <w:rFonts w:ascii="Arial Unicode MS" w:eastAsia="Arial Unicode MS" w:hAnsi="Arial Unicode MS" w:cs="Arial Unicode MS"/>
          <w:color w:val="000000"/>
        </w:rPr>
        <w:t>ამენტსა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მიეღო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ორგანიზაციებმა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დაასკვნეს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პირობებს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შეესაბამებო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ძალიან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რეესტრში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შევიდა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მიანიჭა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თქმით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</w:t>
      </w:r>
      <w:r>
        <w:rPr>
          <w:rFonts w:ascii="Arial Unicode MS" w:eastAsia="Arial Unicode MS" w:hAnsi="Arial Unicode MS" w:cs="Arial Unicode MS"/>
          <w:color w:val="000000"/>
        </w:rPr>
        <w:t>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ესარგებლა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პირობებს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შეესაბამებოდა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შეეძლო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განაცხადი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განუსაზღვრელი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ვადითაა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მდგომარეობის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სავალდებულო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ახდენს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ამიტომ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მართოს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პენსია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762FB8FE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რამდენადაც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პერსპექტივაც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ჩანდა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უახლოეს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მომავალში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</w:t>
      </w:r>
      <w:r>
        <w:rPr>
          <w:rFonts w:ascii="Arial Unicode MS" w:eastAsia="Arial Unicode MS" w:hAnsi="Arial Unicode MS" w:cs="Arial Unicode MS"/>
          <w:color w:val="000000"/>
        </w:rPr>
        <w:t>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მიიღებდა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ავსტრალიისა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გაიდლაინების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FD8E02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მოსახლეების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პრივატუ</w:t>
      </w:r>
      <w:r>
        <w:rPr>
          <w:rFonts w:ascii="Arial Unicode MS" w:eastAsia="Arial Unicode MS" w:hAnsi="Arial Unicode MS" w:cs="Arial Unicode MS"/>
          <w:color w:val="000000"/>
        </w:rPr>
        <w:t>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საკმარისად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მართალია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მაცხოვრებლებს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შევიდნენ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მაშინაც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ნივთების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ფლობისთვის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შესაფერისი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>არემო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მუდმივი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რისკია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საგნებს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მოიპარავენ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დააზიანებენ</w:t>
      </w:r>
      <w:r>
        <w:rPr>
          <w:rFonts w:ascii="Arial Unicode MS" w:eastAsia="Arial Unicode MS" w:hAnsi="Arial Unicode MS" w:cs="Arial Unicode MS"/>
          <w:color w:val="000000"/>
        </w:rPr>
        <w:t xml:space="preserve">.  </w:t>
      </w:r>
    </w:p>
    <w:p w14:paraId="5E1C505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ნელი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უწოდებს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შესთავაზეს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ინტერვენციები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მოპოვებაში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დაეხმარებოდნენ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</w:t>
      </w:r>
      <w:r>
        <w:rPr>
          <w:rFonts w:ascii="Arial Unicode MS" w:eastAsia="Arial Unicode MS" w:hAnsi="Arial Unicode MS" w:cs="Arial Unicode MS"/>
          <w:color w:val="000000"/>
        </w:rPr>
        <w:t>აცვლად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ახორციელებენ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გაუარესდა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აპროტესტებდა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ცდილობდა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7F433CC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2.6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9 </w:t>
      </w:r>
      <w:r>
        <w:rPr>
          <w:rFonts w:ascii="Arial Unicode MS" w:eastAsia="Arial Unicode MS" w:hAnsi="Arial Unicode MS" w:cs="Arial Unicode MS"/>
          <w:color w:val="000000"/>
        </w:rPr>
        <w:t>სექტემბრით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დათარიღებული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წერილით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მოქმედმა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ადვოკატებმა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ამტკიცებდნენ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ხელისუფლებებმა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შესაძლებლობასთან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წვდომა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შეუზღუდეს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მოხდა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1992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ადვოკატებმა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</w:t>
      </w:r>
      <w:r>
        <w:rPr>
          <w:rFonts w:ascii="Arial Unicode MS" w:eastAsia="Arial Unicode MS" w:hAnsi="Arial Unicode MS" w:cs="Arial Unicode MS"/>
          <w:color w:val="000000"/>
        </w:rPr>
        <w:t>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ავსტრალიისა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ხელისუფლებები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პრაქტიკებს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ახორციელებდნენ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აღრვევდა</w:t>
      </w:r>
      <w:r>
        <w:rPr>
          <w:rFonts w:ascii="Arial Unicode MS" w:eastAsia="Arial Unicode MS" w:hAnsi="Arial Unicode MS" w:cs="Arial Unicode MS"/>
          <w:color w:val="000000"/>
        </w:rPr>
        <w:t xml:space="preserve">. 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12 </w:t>
      </w:r>
      <w:r>
        <w:rPr>
          <w:rFonts w:ascii="Arial Unicode MS" w:eastAsia="Arial Unicode MS" w:hAnsi="Arial Unicode MS" w:cs="Arial Unicode MS"/>
          <w:color w:val="000000"/>
        </w:rPr>
        <w:t>ოქტომბრით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დათრიღებულ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წერილში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შეატყო</w:t>
      </w:r>
      <w:r>
        <w:rPr>
          <w:rFonts w:ascii="Arial Unicode MS" w:eastAsia="Arial Unicode MS" w:hAnsi="Arial Unicode MS" w:cs="Arial Unicode MS"/>
          <w:color w:val="000000"/>
        </w:rPr>
        <w:t>ბინა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სამთავრობო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სააგენტოების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ხელმძღვანელებს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გაცემა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მოსთხოვა</w:t>
      </w:r>
      <w:r>
        <w:rPr>
          <w:rFonts w:ascii="Arial Unicode MS" w:eastAsia="Arial Unicode MS" w:hAnsi="Arial Unicode MS" w:cs="Arial Unicode MS"/>
          <w:color w:val="000000"/>
        </w:rPr>
        <w:t xml:space="preserve">. 2012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4 </w:t>
      </w:r>
      <w:r>
        <w:rPr>
          <w:rFonts w:ascii="Arial Unicode MS" w:eastAsia="Arial Unicode MS" w:hAnsi="Arial Unicode MS" w:cs="Arial Unicode MS"/>
          <w:color w:val="000000"/>
        </w:rPr>
        <w:t>ნოემბრით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დათარიღებულ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წერილში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მთავრობასთან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გენერალური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პროკურორის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</w:t>
      </w:r>
      <w:r>
        <w:rPr>
          <w:rFonts w:ascii="Arial Unicode MS" w:eastAsia="Arial Unicode MS" w:hAnsi="Arial Unicode MS" w:cs="Arial Unicode MS"/>
          <w:color w:val="000000"/>
        </w:rPr>
        <w:t>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პრაქტიკებში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ეწინააღმდეგებოდა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წერილში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საუბარი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იმაზეც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აღმასრულებელი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ხელისუფლების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უმოქმედობაზე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</w:t>
      </w:r>
      <w:r>
        <w:rPr>
          <w:rFonts w:ascii="Arial Unicode MS" w:eastAsia="Arial Unicode MS" w:hAnsi="Arial Unicode MS" w:cs="Arial Unicode MS"/>
          <w:color w:val="000000"/>
        </w:rPr>
        <w:t>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იურისდიქცია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შემოიფარგლებოდა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1804F7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2.7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2012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</w:rPr>
        <w:t>ივლისით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დათარიღებული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წერილით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ორგანიზაციამ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ქრაუნ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ლო</w:t>
      </w:r>
      <w:r>
        <w:rPr>
          <w:rFonts w:ascii="Arial Unicode MS" w:eastAsia="Arial Unicode MS" w:hAnsi="Arial Unicode MS" w:cs="Arial Unicode MS"/>
          <w:color w:val="000000"/>
        </w:rPr>
        <w:t xml:space="preserve"> (Crown Law)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მისწერა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უფლებამოსილი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მთავრობის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პრაქტიკები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გამოეძიებინა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შეუსაბამო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ეწინააღმდეგებოდა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ეტაპზე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ადვოკატებმა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უთხრეს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</w:t>
      </w:r>
      <w:r>
        <w:rPr>
          <w:rFonts w:ascii="Arial Unicode MS" w:eastAsia="Arial Unicode MS" w:hAnsi="Arial Unicode MS" w:cs="Arial Unicode MS"/>
          <w:color w:val="000000"/>
        </w:rPr>
        <w:t>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წინაშე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წარუმატებელი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კონტექსტში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მოხდა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სპეციალური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კატეგორიაში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შედიან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პირებზეა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გათვლილი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ამიტომაც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დაფუძნებულ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წარმოშობს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45-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ნაწილის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275CE6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2.8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წარუმატებელი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</w:t>
      </w:r>
      <w:r>
        <w:rPr>
          <w:rFonts w:ascii="Arial Unicode MS" w:eastAsia="Arial Unicode MS" w:hAnsi="Arial Unicode MS" w:cs="Arial Unicode MS"/>
          <w:color w:val="000000"/>
        </w:rPr>
        <w:t>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პირდაპირი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დაასკვნის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მდგომარეობა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აპლიკანტების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მდგომარეობისგან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მატერიალურად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განსხვავებულია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განსხვავების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მიზეზი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ისაა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შეაფასა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სასამართლო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პირველ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რიგში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განაცხადს</w:t>
      </w:r>
      <w:r>
        <w:rPr>
          <w:rFonts w:ascii="Arial Unicode MS" w:eastAsia="Arial Unicode MS" w:hAnsi="Arial Unicode MS" w:cs="Arial Unicode MS"/>
          <w:color w:val="000000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ესაჭიროება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გონივრულია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მაშინაც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დაასკვნის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</w:t>
      </w:r>
      <w:r>
        <w:rPr>
          <w:rFonts w:ascii="Arial Unicode MS" w:eastAsia="Arial Unicode MS" w:hAnsi="Arial Unicode MS" w:cs="Arial Unicode MS"/>
          <w:color w:val="000000"/>
        </w:rPr>
        <w:t>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დაუყოვნებლივი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გაუმართლებელი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ტვირთია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გარდა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თანამეგობრობას</w:t>
      </w:r>
      <w:r>
        <w:rPr>
          <w:rFonts w:ascii="Arial Unicode MS" w:eastAsia="Arial Unicode MS" w:hAnsi="Arial Unicode MS" w:cs="Arial Unicode MS"/>
          <w:color w:val="000000"/>
        </w:rPr>
        <w:t xml:space="preserve"> (Commonwealth)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დაეკისრება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დადგინდება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</w:t>
      </w:r>
      <w:r>
        <w:rPr>
          <w:rFonts w:ascii="Arial Unicode MS" w:eastAsia="Arial Unicode MS" w:hAnsi="Arial Unicode MS" w:cs="Arial Unicode MS"/>
          <w:color w:val="000000"/>
        </w:rPr>
        <w:t>მინაციისთვის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წარუმატებელი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3C7CA335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2.9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უფლებამოსილება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დაიწყოს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დაფუძნებული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2000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ექვემდებარება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დაიწყო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ავტორიზება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მოახდინოს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48DF4E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2.10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საბოლოოდ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ამბობს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აკვირდება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ზოგიერთ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ასპექტს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მხრივ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იურისდიქცია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კომისიამ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მომრიგებელი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კონფერენცია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მოიწვ</w:t>
      </w:r>
      <w:r>
        <w:rPr>
          <w:rFonts w:ascii="Arial Unicode MS" w:eastAsia="Arial Unicode MS" w:hAnsi="Arial Unicode MS" w:cs="Arial Unicode MS"/>
          <w:color w:val="000000"/>
        </w:rPr>
        <w:t>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მორიგებაში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გარდა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პროცედურა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აღმოსაფხვრელად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აღსრულებადი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გამოსავლის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მოძიების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იძლევა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ქმედითად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4F93B27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lastRenderedPageBreak/>
        <w:tab/>
      </w: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>საჩივარი</w:t>
      </w:r>
    </w:p>
    <w:p w14:paraId="085F1CF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პრაქტიკებმა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გამოიწვია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>-19, 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,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აგრეთვე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-5 (2) </w:t>
      </w:r>
      <w:r>
        <w:rPr>
          <w:rFonts w:ascii="Arial Unicode MS" w:eastAsia="Arial Unicode MS" w:hAnsi="Arial Unicode MS" w:cs="Arial Unicode MS"/>
          <w:color w:val="000000"/>
        </w:rPr>
        <w:t>მუხ</w:t>
      </w:r>
      <w:r>
        <w:rPr>
          <w:rFonts w:ascii="Arial Unicode MS" w:eastAsia="Arial Unicode MS" w:hAnsi="Arial Unicode MS" w:cs="Arial Unicode MS"/>
          <w:color w:val="000000"/>
        </w:rPr>
        <w:t>ლებთან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კავშირში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3E6E262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საწინააღმდეგოდ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იმყოფებოდა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შევიდა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ნიშნით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თვითნებური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დაკავებაა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რამდ</w:t>
      </w:r>
      <w:r>
        <w:rPr>
          <w:rFonts w:ascii="Arial Unicode MS" w:eastAsia="Arial Unicode MS" w:hAnsi="Arial Unicode MS" w:cs="Arial Unicode MS"/>
          <w:color w:val="000000"/>
        </w:rPr>
        <w:t>ენადაც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ქონების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ახდენს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პენსიის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მართვა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თემზე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ორიენტირებული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საზოგადოებისგან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სეგრეგირებული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იზოლირებული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B879B5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იძულებული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ეცხოვრა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ჩამორთმეული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გამოიწვია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6C5F85B0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იძულებითი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-19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დარღვევაცაა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შეუშალა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ინსტიტუციონალიზაციამ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ჩართულობასაც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შეუშალა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798A16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თქმით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</w:t>
      </w:r>
      <w:r>
        <w:rPr>
          <w:rFonts w:ascii="Arial Unicode MS" w:eastAsia="Arial Unicode MS" w:hAnsi="Arial Unicode MS" w:cs="Arial Unicode MS"/>
          <w:color w:val="000000"/>
        </w:rPr>
        <w:t>ივატულობაში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მუდმივად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ერეოდნენ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კაციან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პრივატულობის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მცირე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სივრცე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რჩებოდა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რეზიდენტებს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შესვლა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შეეძლოთ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სიტუაცია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574DEF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3.6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განმავლობაში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მიუღია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არადა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ამგვარი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შესაძლებლობების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გაძლიერებისა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შენარჩუნების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მისცემდა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მედიცინაზე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ორიენტირებული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ინსტიტუციაა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რომელმაც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იზოლირება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მოახდინა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რომელშიც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ინკლუზიის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მისცემდა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დროსთან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პასიური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დამოკიდებული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სიტუაცია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დარღვევაა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F9B38F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3.7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პალატაში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იძულებულმა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განთავსებამ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მხარდამჭერ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მუდმივმა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სტანდარტის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მიღწევაში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შეუშალა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არადა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მუხლშია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50E5709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3.8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ჩამოთვლილ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სახლმწიფომ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-5 </w:t>
      </w:r>
      <w:r>
        <w:rPr>
          <w:rFonts w:ascii="Arial Unicode MS" w:eastAsia="Arial Unicode MS" w:hAnsi="Arial Unicode MS" w:cs="Arial Unicode MS"/>
          <w:color w:val="000000"/>
        </w:rPr>
        <w:t>მუხლებიც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>-19, 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,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>ესურსის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თქმით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ფორმის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აკრძალვა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შეძლო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თანასწორი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სისტემის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შეთავაზებაც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მოახერ</w:t>
      </w:r>
      <w:r>
        <w:rPr>
          <w:rFonts w:ascii="Arial Unicode MS" w:eastAsia="Arial Unicode MS" w:hAnsi="Arial Unicode MS" w:cs="Arial Unicode MS"/>
          <w:color w:val="000000"/>
        </w:rPr>
        <w:t>ხა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D1E0DCE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მხარის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დაკვირვებები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დასაშვებობასთან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და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საქმის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არსებით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მხარესთან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დაკავშირებით</w:t>
      </w:r>
    </w:p>
    <w:p w14:paraId="5504585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22 </w:t>
      </w:r>
      <w:r>
        <w:rPr>
          <w:rFonts w:ascii="Arial Unicode MS" w:eastAsia="Arial Unicode MS" w:hAnsi="Arial Unicode MS" w:cs="Arial Unicode MS"/>
          <w:color w:val="000000"/>
        </w:rPr>
        <w:t>დეკემბერს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დასაშვებობასთან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დაკვირვებები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</w:t>
      </w:r>
      <w:r>
        <w:rPr>
          <w:rFonts w:ascii="Arial Unicode MS" w:eastAsia="Arial Unicode MS" w:hAnsi="Arial Unicode MS" w:cs="Arial Unicode MS"/>
          <w:color w:val="000000"/>
        </w:rPr>
        <w:t>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ინტელექტუალური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შეძენილი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დაზიანების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ასფიქსიისგანაა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გამოწვეული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ასფიქსია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ნარკოტიკული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ზედოზირების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გასავლელად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მოვიდა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ცხოვრებისთვის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აღდგენის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იაბირუს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განყოფილების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იმყოფება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მაცხოვრებლების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მსგავსად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შენობებში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რადიო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ტელევიზორი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მაცივარ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პენსიას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კვირაში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დაახლოებით</w:t>
      </w:r>
      <w:r>
        <w:rPr>
          <w:rFonts w:ascii="Arial Unicode MS" w:eastAsia="Arial Unicode MS" w:hAnsi="Arial Unicode MS" w:cs="Arial Unicode MS"/>
          <w:color w:val="000000"/>
        </w:rPr>
        <w:t xml:space="preserve">, 776,70 </w:t>
      </w:r>
      <w:r>
        <w:rPr>
          <w:rFonts w:ascii="Arial Unicode MS" w:eastAsia="Arial Unicode MS" w:hAnsi="Arial Unicode MS" w:cs="Arial Unicode MS"/>
          <w:color w:val="000000"/>
        </w:rPr>
        <w:t>ავსტრალიურ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63,50 </w:t>
      </w:r>
      <w:r>
        <w:rPr>
          <w:rFonts w:ascii="Arial Unicode MS" w:eastAsia="Arial Unicode MS" w:hAnsi="Arial Unicode MS" w:cs="Arial Unicode MS"/>
          <w:color w:val="000000"/>
        </w:rPr>
        <w:t>ავსტრალიური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ოდენობის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საპენსიო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დანამატს</w:t>
      </w:r>
      <w:r>
        <w:rPr>
          <w:rFonts w:ascii="Arial Unicode MS" w:eastAsia="Arial Unicode MS" w:hAnsi="Arial Unicode MS" w:cs="Arial Unicode MS"/>
          <w:color w:val="000000"/>
        </w:rPr>
        <w:t xml:space="preserve">, 127,60 </w:t>
      </w:r>
      <w:r>
        <w:rPr>
          <w:rFonts w:ascii="Arial Unicode MS" w:eastAsia="Arial Unicode MS" w:hAnsi="Arial Unicode MS" w:cs="Arial Unicode MS"/>
          <w:color w:val="000000"/>
        </w:rPr>
        <w:t>ავსტრალიური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ოდენობის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დახმარებას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14,10 </w:t>
      </w:r>
      <w:r>
        <w:rPr>
          <w:rFonts w:ascii="Arial Unicode MS" w:eastAsia="Arial Unicode MS" w:hAnsi="Arial Unicode MS" w:cs="Arial Unicode MS"/>
          <w:color w:val="000000"/>
        </w:rPr>
        <w:t>ავსტრალიური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ოდენობის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გადაუდებელ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დანამატსაც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ყოველ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კვირაში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ერთხელ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საბოლოო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ჯამში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კვირაში</w:t>
      </w:r>
      <w:r>
        <w:rPr>
          <w:rFonts w:ascii="Arial Unicode MS" w:eastAsia="Arial Unicode MS" w:hAnsi="Arial Unicode MS" w:cs="Arial Unicode MS"/>
          <w:color w:val="000000"/>
        </w:rPr>
        <w:t xml:space="preserve"> 981,90 </w:t>
      </w:r>
      <w:r>
        <w:rPr>
          <w:rFonts w:ascii="Arial Unicode MS" w:eastAsia="Arial Unicode MS" w:hAnsi="Arial Unicode MS" w:cs="Arial Unicode MS"/>
          <w:color w:val="000000"/>
        </w:rPr>
        <w:t>ავსტრალიურ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სავალდებულო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ახდენს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რწმუნებულის</w:t>
      </w:r>
      <w:r>
        <w:rPr>
          <w:rFonts w:ascii="Arial Unicode MS" w:eastAsia="Arial Unicode MS" w:hAnsi="Arial Unicode MS" w:cs="Arial Unicode MS"/>
          <w:color w:val="000000"/>
        </w:rPr>
        <w:t xml:space="preserve"> 1978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ჯანდაცვას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წელიწადში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დაახლოებით</w:t>
      </w:r>
      <w:r>
        <w:rPr>
          <w:rFonts w:ascii="Arial Unicode MS" w:eastAsia="Arial Unicode MS" w:hAnsi="Arial Unicode MS" w:cs="Arial Unicode MS"/>
          <w:color w:val="000000"/>
        </w:rPr>
        <w:t xml:space="preserve">, 15,600 </w:t>
      </w:r>
      <w:r>
        <w:rPr>
          <w:rFonts w:ascii="Arial Unicode MS" w:eastAsia="Arial Unicode MS" w:hAnsi="Arial Unicode MS" w:cs="Arial Unicode MS"/>
          <w:color w:val="000000"/>
        </w:rPr>
        <w:t>ავსტრალიურ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უხდის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>ომელსაც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გამოთვლილია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ხარჯებიდან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ფარავს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საკვების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სამრეცხაოს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მედიკამენტების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ხარჯებს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რეკრეაციული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ჩათვლით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სახელზეც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>გარიში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გამოიყენოს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ინდივიდუალური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აღჭურვილობის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შესაძენად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აღჭურვილობა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გაყვანის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დაეხმაროს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2BE373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ყოფნის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განმავლობაში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>ღებდა</w:t>
      </w:r>
      <w:r>
        <w:rPr>
          <w:rFonts w:ascii="Arial Unicode MS" w:eastAsia="Arial Unicode MS" w:hAnsi="Arial Unicode MS" w:cs="Arial Unicode MS"/>
          <w:color w:val="000000"/>
        </w:rPr>
        <w:t xml:space="preserve">. 2000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ივლისში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დაახლოებით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შეაფასეს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მზად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მყოფი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ურჩიეს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შეეწყვიტა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გარდამავალი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ისახავდა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ფიზიკური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საკომუნიკაციო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ფუნქციების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მაქ</w:t>
      </w:r>
      <w:r>
        <w:rPr>
          <w:rFonts w:ascii="Arial Unicode MS" w:eastAsia="Arial Unicode MS" w:hAnsi="Arial Unicode MS" w:cs="Arial Unicode MS"/>
          <w:color w:val="000000"/>
        </w:rPr>
        <w:t>სიმალურად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გაზრდას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ზედამხედველობითა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განხორციელების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მიცემას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7659B7A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მისაღებად</w:t>
      </w:r>
      <w:r>
        <w:rPr>
          <w:rFonts w:ascii="Arial Unicode MS" w:eastAsia="Arial Unicode MS" w:hAnsi="Arial Unicode MS" w:cs="Arial Unicode MS"/>
          <w:color w:val="000000"/>
        </w:rPr>
        <w:t xml:space="preserve">, 2010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ივლისს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სამსახურში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განაცხადა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მუდმივი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თვითმ</w:t>
      </w:r>
      <w:r>
        <w:rPr>
          <w:rFonts w:ascii="Arial Unicode MS" w:eastAsia="Arial Unicode MS" w:hAnsi="Arial Unicode MS" w:cs="Arial Unicode MS"/>
          <w:color w:val="000000"/>
        </w:rPr>
        <w:t>ართვის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სწავლისა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კუთხით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როცა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გახდა</w:t>
      </w:r>
      <w:r>
        <w:rPr>
          <w:rFonts w:ascii="Arial Unicode MS" w:eastAsia="Arial Unicode MS" w:hAnsi="Arial Unicode MS" w:cs="Arial Unicode MS"/>
          <w:color w:val="000000"/>
        </w:rPr>
        <w:t xml:space="preserve">). 2010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11 </w:t>
      </w:r>
      <w:r>
        <w:rPr>
          <w:rFonts w:ascii="Arial Unicode MS" w:eastAsia="Arial Unicode MS" w:hAnsi="Arial Unicode MS" w:cs="Arial Unicode MS"/>
          <w:color w:val="000000"/>
        </w:rPr>
        <w:t>ნოემბერს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ჩერმსაიდის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სუბსიდირებული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ბრისბეინის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გარეუბნებში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კერძოდ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სტრათპაინში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ბრეი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პარკში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ბრეკენ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რიჯში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ჩერმსაიდში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სტაფორდში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კედრონში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დასახლებულიყო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დუპლექსში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კლასტერულ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ზრდასრულების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განყოფილებაში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შემოიტანა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დასკ</w:t>
      </w:r>
      <w:r>
        <w:rPr>
          <w:rFonts w:ascii="Arial Unicode MS" w:eastAsia="Arial Unicode MS" w:hAnsi="Arial Unicode MS" w:cs="Arial Unicode MS"/>
          <w:color w:val="000000"/>
        </w:rPr>
        <w:t>ვნაც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24 </w:t>
      </w:r>
      <w:r>
        <w:rPr>
          <w:rFonts w:ascii="Arial Unicode MS" w:eastAsia="Arial Unicode MS" w:hAnsi="Arial Unicode MS" w:cs="Arial Unicode MS"/>
          <w:color w:val="000000"/>
        </w:rPr>
        <w:t>საათიანი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მეთვალყურეობა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მზრუნველი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დაეხმარებოდა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თქვა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რეზიდენტთან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</w:t>
      </w:r>
      <w:r>
        <w:rPr>
          <w:rFonts w:ascii="Arial Unicode MS" w:eastAsia="Arial Unicode MS" w:hAnsi="Arial Unicode MS" w:cs="Arial Unicode MS"/>
          <w:color w:val="000000"/>
        </w:rPr>
        <w:t>შვები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დახმარების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6AE7B771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4.4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2010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დეკემბერში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მაშინდელმა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იაკანაც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ოკუპაციური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თერაპევტის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ანგარიში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მოიპოვა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რეკომენდაციებს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შეიცავდა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დასახელებული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ჰყავ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პოტენციური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თანადამქირავებელი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განაცხადი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სწორედ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ეძებდნენ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აპლიკანტების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მხარდაჭერაზეა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ორიენტირებული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გულისხმობს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</w:t>
      </w:r>
      <w:r>
        <w:rPr>
          <w:rFonts w:ascii="Arial Unicode MS" w:eastAsia="Arial Unicode MS" w:hAnsi="Arial Unicode MS" w:cs="Arial Unicode MS"/>
          <w:color w:val="000000"/>
        </w:rPr>
        <w:t>გუფის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ერთმანეთის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სიახლოვეს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გაინაწილონ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6755D5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4.5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22 </w:t>
      </w:r>
      <w:r>
        <w:rPr>
          <w:rFonts w:ascii="Arial Unicode MS" w:eastAsia="Arial Unicode MS" w:hAnsi="Arial Unicode MS" w:cs="Arial Unicode MS"/>
          <w:color w:val="000000"/>
        </w:rPr>
        <w:t>თებერვალს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ჩერმსაიდის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ირიბად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უთხრა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საზიარო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ჩერმსაიდში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სტაფორდში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დუპლე</w:t>
      </w:r>
      <w:r>
        <w:rPr>
          <w:rFonts w:ascii="Arial Unicode MS" w:eastAsia="Arial Unicode MS" w:hAnsi="Arial Unicode MS" w:cs="Arial Unicode MS"/>
          <w:color w:val="000000"/>
        </w:rPr>
        <w:t>ქსი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აცნობეს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ვარიანტების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რაოდენობას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შეამცირებდა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საზიარო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ვარიანტების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რაოდენობას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ზრდიდა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შეცვალა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მიენიჭა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6F8BA79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4.6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24 </w:t>
      </w:r>
      <w:r>
        <w:rPr>
          <w:rFonts w:ascii="Arial Unicode MS" w:eastAsia="Arial Unicode MS" w:hAnsi="Arial Unicode MS" w:cs="Arial Unicode MS"/>
          <w:color w:val="000000"/>
        </w:rPr>
        <w:t>მარტ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ინტეგრირებული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მოამზადეს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გეგმამ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დაადასტურა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მიზანი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სუბსიდირებული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ესარგებლა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დუპლექსის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გადაწყდა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ახალი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საყოფაცხო</w:t>
      </w:r>
      <w:r>
        <w:rPr>
          <w:rFonts w:ascii="Arial Unicode MS" w:eastAsia="Arial Unicode MS" w:hAnsi="Arial Unicode MS" w:cs="Arial Unicode MS"/>
          <w:color w:val="000000"/>
        </w:rPr>
        <w:t>ვრებო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მოწყობის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ფორმირების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კრიტერიუმებს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აკმაყოფილებდა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აპლიკანტებს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ეხმარება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შინამეურნეობის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შექმნა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სჭირდებათ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BA9B196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4.7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ჩერმსაიდის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ოკუპაციურმა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თერაპევტმა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შეაფასა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პირველი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სართულის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ადაპტირებული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საძინებლიანი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შესთავაზეს</w:t>
      </w:r>
      <w:r>
        <w:rPr>
          <w:rFonts w:ascii="Arial Unicode MS" w:eastAsia="Arial Unicode MS" w:hAnsi="Arial Unicode MS" w:cs="Arial Unicode MS"/>
          <w:color w:val="000000"/>
        </w:rPr>
        <w:t xml:space="preserve">. 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24 </w:t>
      </w:r>
      <w:r>
        <w:rPr>
          <w:rFonts w:ascii="Arial Unicode MS" w:eastAsia="Arial Unicode MS" w:hAnsi="Arial Unicode MS" w:cs="Arial Unicode MS"/>
          <w:color w:val="000000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დაადასტურა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დუპლექსის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. 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</w:rPr>
        <w:t>ნოემბერს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გაიმართა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>ინტერესებულ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შეხვედრა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დამტკიცდა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უბნების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ჩამონათვალი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ისურვებდა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განახლდა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180E9E0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4.8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ოქტომბრის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მეორე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ნახევრიდან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ჩერმსაიდის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ოკუპაციურ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თერ</w:t>
      </w:r>
      <w:r>
        <w:rPr>
          <w:rFonts w:ascii="Arial Unicode MS" w:eastAsia="Arial Unicode MS" w:hAnsi="Arial Unicode MS" w:cs="Arial Unicode MS"/>
          <w:color w:val="000000"/>
        </w:rPr>
        <w:t>აპევტს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კომუნიკაცია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ცდილობს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გააფართოვოს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დათანხმდება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შესაფერისი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იდენტიფიცირების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გაეზრდება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გარანტირებაზე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საუბარი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>).</w:t>
      </w:r>
    </w:p>
    <w:p w14:paraId="03D1913F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4.9</w:t>
      </w:r>
      <w:r>
        <w:rPr>
          <w:rFonts w:ascii="Arial Unicode MS" w:eastAsia="Arial Unicode MS" w:hAnsi="Arial Unicode MS" w:cs="Arial Unicode MS"/>
          <w:color w:val="000000"/>
        </w:rPr>
        <w:tab/>
        <w:t xml:space="preserve">2013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21 </w:t>
      </w:r>
      <w:r>
        <w:rPr>
          <w:rFonts w:ascii="Arial Unicode MS" w:eastAsia="Arial Unicode MS" w:hAnsi="Arial Unicode MS" w:cs="Arial Unicode MS"/>
          <w:color w:val="000000"/>
        </w:rPr>
        <w:t>მარტს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განსახლებისა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</w:t>
      </w:r>
      <w:r>
        <w:rPr>
          <w:rFonts w:ascii="Arial Unicode MS" w:eastAsia="Arial Unicode MS" w:hAnsi="Arial Unicode MS" w:cs="Arial Unicode MS"/>
          <w:color w:val="000000"/>
        </w:rPr>
        <w:t>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დახმარების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დარწმუნებულიყო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დროისთვისაც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რელევანტური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. 2013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15 </w:t>
      </w:r>
      <w:r>
        <w:rPr>
          <w:rFonts w:ascii="Arial Unicode MS" w:eastAsia="Arial Unicode MS" w:hAnsi="Arial Unicode MS" w:cs="Arial Unicode MS"/>
          <w:color w:val="000000"/>
        </w:rPr>
        <w:t>აპრილს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შევსებული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</w:t>
      </w:r>
      <w:r>
        <w:rPr>
          <w:rFonts w:ascii="Arial Unicode MS" w:eastAsia="Arial Unicode MS" w:hAnsi="Arial Unicode MS" w:cs="Arial Unicode MS"/>
          <w:color w:val="000000"/>
        </w:rPr>
        <w:t>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ჩანდა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პრეფერენციები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შეუცვლია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სტატუსი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საჭიროება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გამოიყოფა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მოლოდინის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</w:t>
      </w:r>
      <w:r>
        <w:rPr>
          <w:rFonts w:ascii="Arial Unicode MS" w:eastAsia="Arial Unicode MS" w:hAnsi="Arial Unicode MS" w:cs="Arial Unicode MS"/>
          <w:color w:val="000000"/>
        </w:rPr>
        <w:t>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ჯგუფებსაც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შორის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ადგილობრივ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მკვიდრ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ოჯახური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ძალადობის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მსხვერპლებს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ყველაზე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ხშირად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ქალებსა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ბავშვებს</w:t>
      </w:r>
      <w:r>
        <w:rPr>
          <w:rFonts w:ascii="Arial Unicode MS" w:eastAsia="Arial Unicode MS" w:hAnsi="Arial Unicode MS" w:cs="Arial Unicode MS"/>
          <w:color w:val="000000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</w:rPr>
        <w:t>იძულებით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. 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10 </w:t>
      </w:r>
      <w:r>
        <w:rPr>
          <w:rFonts w:ascii="Arial Unicode MS" w:eastAsia="Arial Unicode MS" w:hAnsi="Arial Unicode MS" w:cs="Arial Unicode MS"/>
          <w:color w:val="000000"/>
        </w:rPr>
        <w:t>თებერვლის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</w:t>
      </w:r>
      <w:r>
        <w:rPr>
          <w:rFonts w:ascii="Arial Unicode MS" w:eastAsia="Arial Unicode MS" w:hAnsi="Arial Unicode MS" w:cs="Arial Unicode MS"/>
          <w:color w:val="000000"/>
        </w:rPr>
        <w:t>დგომარეობით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დაახლოებით</w:t>
      </w:r>
      <w:r>
        <w:rPr>
          <w:rFonts w:ascii="Arial Unicode MS" w:eastAsia="Arial Unicode MS" w:hAnsi="Arial Unicode MS" w:cs="Arial Unicode MS"/>
          <w:color w:val="000000"/>
        </w:rPr>
        <w:t xml:space="preserve"> 4 400 </w:t>
      </w:r>
      <w:r>
        <w:rPr>
          <w:rFonts w:ascii="Arial Unicode MS" w:eastAsia="Arial Unicode MS" w:hAnsi="Arial Unicode MS" w:cs="Arial Unicode MS"/>
          <w:color w:val="000000"/>
        </w:rPr>
        <w:t>ოჯახი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9BDC66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4.10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აწვდის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ჩამონათვალს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გარეუბანში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სურვილ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გამოხატა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ორ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საძინებლიანი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კლასტერული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დუპლექსი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საცხოვრებლების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ლიმიტირებული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ადგილმდებარეობის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რაოდენობის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შესათავაზებლად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072015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მისაღებად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ჯანმრთელობისა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უსაფრთხოებისთვის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მართალია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ეკუთვნის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დაუყო</w:t>
      </w:r>
      <w:r>
        <w:rPr>
          <w:rFonts w:ascii="Arial Unicode MS" w:eastAsia="Arial Unicode MS" w:hAnsi="Arial Unicode MS" w:cs="Arial Unicode MS"/>
          <w:color w:val="000000"/>
        </w:rPr>
        <w:t>ვნებლივ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განსახლებისა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შეფასებისთანავე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მეშვეობით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ინდივიდად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იდენტიფიცირდეს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აღემატება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მიწოდებას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ახორციელებს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პრიორიტეტებს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შედარებით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vertAlign w:val="superscript"/>
        </w:rPr>
        <w:footnoteReference w:id="3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ნათქვამია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ამოწურვადია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</w:t>
      </w:r>
      <w:r>
        <w:rPr>
          <w:rFonts w:ascii="Arial Unicode MS" w:eastAsia="Arial Unicode MS" w:hAnsi="Arial Unicode MS" w:cs="Arial Unicode MS"/>
          <w:color w:val="000000"/>
        </w:rPr>
        <w:t>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სპეციფიკურ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ხელმისაწმდომობას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ავტომატურად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უდრის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განისაზღვრება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შესაბამისობის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საჭიროებების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ხელმისაწმდომობის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კომპლექსური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განხილვის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ნათქვამია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სპეციალური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განაწილებაში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მინიჭების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საბოლოო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განმსაზღვრელი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ფაქტორი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პრიორიტეტულობა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საერთო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ხელმისაწვდომობაა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მონაკვეთში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</w:t>
      </w:r>
      <w:r>
        <w:rPr>
          <w:rFonts w:ascii="Arial Unicode MS" w:eastAsia="Arial Unicode MS" w:hAnsi="Arial Unicode MS" w:cs="Arial Unicode MS"/>
          <w:color w:val="000000"/>
        </w:rPr>
        <w:t>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მიუღია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დახმარება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მუდმივად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განიხილავს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სამსახური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სამსახურს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ერთხელ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განხილვა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სთხოვოს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ამჟამინდელ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მდგომარეობის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ასასახად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0AA33D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რომელზეც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თანახმა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პრიორიტეტიზაციის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კანდიდატად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იცხოვრებს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გააგრძელებს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მიწოდებას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2C943CD0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გარდამავალი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</w:t>
      </w:r>
      <w:r>
        <w:rPr>
          <w:rFonts w:ascii="Arial Unicode MS" w:eastAsia="Arial Unicode MS" w:hAnsi="Arial Unicode MS" w:cs="Arial Unicode MS"/>
          <w:color w:val="000000"/>
        </w:rPr>
        <w:t>ესებულება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ჩარლზის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საავადმყოფო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ახორციელებს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ბლოკ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აფინანსებს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2012-13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წლისთვის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7.4 </w:t>
      </w:r>
      <w:r>
        <w:rPr>
          <w:rFonts w:ascii="Arial Unicode MS" w:eastAsia="Arial Unicode MS" w:hAnsi="Arial Unicode MS" w:cs="Arial Unicode MS"/>
          <w:color w:val="000000"/>
        </w:rPr>
        <w:t>მილიონი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აშშ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ოლარი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ჯანდაცვამ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ხოლო</w:t>
      </w:r>
      <w:r>
        <w:rPr>
          <w:rFonts w:ascii="Arial Unicode MS" w:eastAsia="Arial Unicode MS" w:hAnsi="Arial Unicode MS" w:cs="Arial Unicode MS"/>
          <w:color w:val="000000"/>
        </w:rPr>
        <w:t xml:space="preserve"> 600,000 </w:t>
      </w:r>
      <w:r>
        <w:rPr>
          <w:rFonts w:ascii="Arial Unicode MS" w:eastAsia="Arial Unicode MS" w:hAnsi="Arial Unicode MS" w:cs="Arial Unicode MS"/>
          <w:color w:val="000000"/>
        </w:rPr>
        <w:t>აშშ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დოლარი</w:t>
      </w:r>
      <w:r>
        <w:rPr>
          <w:rFonts w:ascii="Arial Unicode MS" w:eastAsia="Arial Unicode MS" w:hAnsi="Arial Unicode MS" w:cs="Arial Unicode MS"/>
          <w:color w:val="000000"/>
        </w:rPr>
        <w:t xml:space="preserve"> -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დაფინანსებაში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რეზიდენტებმაც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მიმღებმა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ადამიანებმა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კონტრიბუციამაც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პენსიის</w:t>
      </w:r>
      <w:r>
        <w:rPr>
          <w:rFonts w:ascii="Arial Unicode MS" w:eastAsia="Arial Unicode MS" w:hAnsi="Arial Unicode MS" w:cs="Arial Unicode MS"/>
          <w:color w:val="000000"/>
        </w:rPr>
        <w:t xml:space="preserve"> 87.5% </w:t>
      </w:r>
      <w:r>
        <w:rPr>
          <w:rFonts w:ascii="Arial Unicode MS" w:eastAsia="Arial Unicode MS" w:hAnsi="Arial Unicode MS" w:cs="Arial Unicode MS"/>
          <w:color w:val="000000"/>
        </w:rPr>
        <w:t>შეადგინა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ც</w:t>
      </w:r>
      <w:r>
        <w:rPr>
          <w:rFonts w:ascii="Arial Unicode MS" w:eastAsia="Arial Unicode MS" w:hAnsi="Arial Unicode MS" w:cs="Arial Unicode MS"/>
          <w:color w:val="000000"/>
        </w:rPr>
        <w:t>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მიმართვებს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ასევე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საავადმყოფიებიდან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DEDD2C0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შეძენილი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დაზიანებების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ყოველმხრივ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მულტიდისციპლინურ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ქეის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კონფერენციას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ატარებს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</w:t>
      </w:r>
      <w:r>
        <w:rPr>
          <w:rFonts w:ascii="Arial Unicode MS" w:eastAsia="Arial Unicode MS" w:hAnsi="Arial Unicode MS" w:cs="Arial Unicode MS"/>
          <w:color w:val="000000"/>
        </w:rPr>
        <w:t>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ყოველ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თვეში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ერთხელ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მანამდეც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ცვლილებები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ფიქსირდება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ატარებს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ფიზიკურ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ფსიქოლოგიურ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რელევანტურ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კონსუ</w:t>
      </w:r>
      <w:r>
        <w:rPr>
          <w:rFonts w:ascii="Arial Unicode MS" w:eastAsia="Arial Unicode MS" w:hAnsi="Arial Unicode MS" w:cs="Arial Unicode MS"/>
          <w:color w:val="000000"/>
        </w:rPr>
        <w:t>ლტირების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გზით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ახალ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შეიმუშავებს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მომავალი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ახალ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ნათესავებსა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მხარდამჭერებს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ახერხებენ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დასწრებას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მათთვის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შეხვედრებზე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განხილული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ანგა</w:t>
      </w:r>
      <w:r>
        <w:rPr>
          <w:rFonts w:ascii="Arial Unicode MS" w:eastAsia="Arial Unicode MS" w:hAnsi="Arial Unicode MS" w:cs="Arial Unicode MS"/>
          <w:color w:val="000000"/>
        </w:rPr>
        <w:t>რიშების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ასლები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მულტიდისციპლინური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გუნდი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კოორდინირებულ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დაუბრკოლებელ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გასვლას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სამსახურებთან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პროვაიდერებთან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დამხმარე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სააგენტოებთან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კავშირს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გულისხმობს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მცხოვრებ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</w:t>
      </w:r>
      <w:r>
        <w:rPr>
          <w:rFonts w:ascii="Arial Unicode MS" w:eastAsia="Arial Unicode MS" w:hAnsi="Arial Unicode MS" w:cs="Arial Unicode MS"/>
          <w:color w:val="000000"/>
        </w:rPr>
        <w:t>ანებს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წაახალისებენ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განივითარონ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შეინარჩუნონ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სხვადასხვა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რეკრეაციული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ეწყობა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რელიგიური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მსახურებები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ბარბიქიუები</w:t>
      </w:r>
      <w:r>
        <w:rPr>
          <w:rFonts w:ascii="Arial Unicode MS" w:eastAsia="Arial Unicode MS" w:hAnsi="Arial Unicode MS" w:cs="Arial Unicode MS"/>
          <w:color w:val="000000"/>
        </w:rPr>
        <w:t>, „</w:t>
      </w:r>
      <w:r>
        <w:rPr>
          <w:rFonts w:ascii="Arial Unicode MS" w:eastAsia="Arial Unicode MS" w:hAnsi="Arial Unicode MS" w:cs="Arial Unicode MS"/>
          <w:color w:val="000000"/>
        </w:rPr>
        <w:t>ბედნიერების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საათი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კარაოკე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კინოთეატრში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წასვლა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ლანჩი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ნაოსნობა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სპორტული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ღონისძიებები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ბაღების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მონახულება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მებაღეობის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ქუიზები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ბინგო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ზოგიერთ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შაბათ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კვირას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განსაკუთრებულ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ოჯახისა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მეგობრების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მონახულებაც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აქედან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</w:t>
      </w:r>
      <w:r>
        <w:rPr>
          <w:rFonts w:ascii="Arial Unicode MS" w:eastAsia="Arial Unicode MS" w:hAnsi="Arial Unicode MS" w:cs="Arial Unicode MS"/>
          <w:color w:val="000000"/>
        </w:rPr>
        <w:t>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სულაც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ნელი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სერვისი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მოდელის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პრინციპების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ოპერირებს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იგეგმება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რეკონსტრუქცია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37BAEBC3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</w:t>
      </w:r>
      <w:r>
        <w:rPr>
          <w:rFonts w:ascii="Arial Unicode MS" w:eastAsia="Arial Unicode MS" w:hAnsi="Arial Unicode MS" w:cs="Arial Unicode MS"/>
          <w:color w:val="000000"/>
        </w:rPr>
        <w:t>ისტრაციულ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დაუსაბუთებელია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კერძოდ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ხელისუფლებას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თანხმობა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გამოექვეყნებინათ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პერსონალური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როგორიცაა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ჩან</w:t>
      </w:r>
      <w:r>
        <w:rPr>
          <w:rFonts w:ascii="Arial Unicode MS" w:eastAsia="Arial Unicode MS" w:hAnsi="Arial Unicode MS" w:cs="Arial Unicode MS"/>
          <w:color w:val="000000"/>
        </w:rPr>
        <w:t>აწერები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დაამტკიცებდა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პასიური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დამოკიდებული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უარყოფს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არგუმენტად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მოჰყავს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>: (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სრულწლოვანის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თანდაყოლილი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ღირსეული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ფუნდამენტურია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მოიცავს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შესაძლოა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ეთანხმებოდნენ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შესაძლოა</w:t>
      </w:r>
      <w:r>
        <w:rPr>
          <w:rFonts w:ascii="Arial Unicode MS" w:eastAsia="Arial Unicode MS" w:hAnsi="Arial Unicode MS" w:cs="Arial Unicode MS"/>
          <w:color w:val="000000"/>
        </w:rPr>
        <w:t>, „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>“ (‘impaired capa</w:t>
      </w:r>
      <w:r>
        <w:rPr>
          <w:rFonts w:ascii="Arial Unicode MS" w:eastAsia="Arial Unicode MS" w:hAnsi="Arial Unicode MS" w:cs="Arial Unicode MS"/>
          <w:color w:val="000000"/>
        </w:rPr>
        <w:t xml:space="preserve">city’) </w:t>
      </w:r>
      <w:r>
        <w:rPr>
          <w:rFonts w:ascii="Arial Unicode MS" w:eastAsia="Arial Unicode MS" w:hAnsi="Arial Unicode MS" w:cs="Arial Unicode MS"/>
          <w:color w:val="000000"/>
        </w:rPr>
        <w:t>სრულწლოვანი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განსხვავდებოდეს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ელემენტების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: (i)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სიმწვავე</w:t>
      </w:r>
      <w:r>
        <w:rPr>
          <w:rFonts w:ascii="Arial Unicode MS" w:eastAsia="Arial Unicode MS" w:hAnsi="Arial Unicode MS" w:cs="Arial Unicode MS"/>
          <w:color w:val="000000"/>
        </w:rPr>
        <w:t xml:space="preserve">; (ii) </w:t>
      </w:r>
      <w:r>
        <w:rPr>
          <w:rFonts w:ascii="Arial Unicode MS" w:eastAsia="Arial Unicode MS" w:hAnsi="Arial Unicode MS" w:cs="Arial Unicode MS"/>
          <w:color w:val="000000"/>
        </w:rPr>
        <w:t>მისაღები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</w:t>
      </w:r>
      <w:r>
        <w:rPr>
          <w:rFonts w:ascii="Arial Unicode MS" w:eastAsia="Arial Unicode MS" w:hAnsi="Arial Unicode MS" w:cs="Arial Unicode MS"/>
          <w:color w:val="000000"/>
        </w:rPr>
        <w:t xml:space="preserve">; (iii)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ქსელიდან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დ</w:t>
      </w:r>
      <w:r>
        <w:rPr>
          <w:rFonts w:ascii="Arial Unicode MS" w:eastAsia="Arial Unicode MS" w:hAnsi="Arial Unicode MS" w:cs="Arial Unicode MS"/>
          <w:color w:val="000000"/>
        </w:rPr>
        <w:t>) „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სრულწლოვანის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უკიდურეს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შეიზღუდოს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) „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სრულწლოვანს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მიიღოს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</w:t>
      </w:r>
      <w:r>
        <w:rPr>
          <w:rFonts w:ascii="Arial Unicode MS" w:eastAsia="Arial Unicode MS" w:hAnsi="Arial Unicode MS" w:cs="Arial Unicode MS"/>
          <w:color w:val="000000"/>
        </w:rPr>
        <w:t>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4"/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ისახავს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სათანადო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ბალანსის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უზრუნველყოფას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სრულწლოვანის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ავტონომიურობის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ხარისხსა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ადეკვატურ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მხარდაჭერას</w:t>
      </w:r>
      <w:r>
        <w:rPr>
          <w:rFonts w:ascii="Arial Unicode MS" w:eastAsia="Arial Unicode MS" w:hAnsi="Arial Unicode MS" w:cs="Arial Unicode MS"/>
          <w:color w:val="000000"/>
        </w:rPr>
        <w:t>“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5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შორის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18F373C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4.16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ზოგადი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პრინციპები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დანიშნულმა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6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ნებისმიერმა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გამოიყენოს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მოიცავს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პრეზუმფციას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ანუ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თანაბარი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</w:t>
      </w:r>
      <w:r>
        <w:rPr>
          <w:rFonts w:ascii="Arial Unicode MS" w:eastAsia="Arial Unicode MS" w:hAnsi="Arial Unicode MS" w:cs="Arial Unicode MS"/>
          <w:color w:val="000000"/>
        </w:rPr>
        <w:t>შეწყობა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მნიშვნელოვანია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7"/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მხარდამჭერა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ჩაერთოს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შეხედულებები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სურვილები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შემზრუდავი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მიდგომა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იშვიათად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გამოიყენებოდეს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ჩანაცვლება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8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შეხედულებები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სურვილები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მაქსიმალურად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EAD6E43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bookmarkStart w:id="2" w:name="_2et92p0" w:colFirst="0" w:colLast="0"/>
      <w:bookmarkEnd w:id="2"/>
      <w:r>
        <w:rPr>
          <w:rFonts w:ascii="Arial Unicode MS" w:eastAsia="Arial Unicode MS" w:hAnsi="Arial Unicode MS" w:cs="Arial Unicode MS"/>
          <w:color w:val="000000"/>
        </w:rPr>
        <w:t>4.17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>-1</w:t>
      </w:r>
      <w:r>
        <w:rPr>
          <w:rFonts w:ascii="Arial Unicode MS" w:eastAsia="Arial Unicode MS" w:hAnsi="Arial Unicode MS" w:cs="Arial Unicode MS"/>
          <w:color w:val="000000"/>
        </w:rPr>
        <w:t xml:space="preserve">2 </w:t>
      </w:r>
      <w:r>
        <w:rPr>
          <w:rFonts w:ascii="Arial Unicode MS" w:eastAsia="Arial Unicode MS" w:hAnsi="Arial Unicode MS" w:cs="Arial Unicode MS"/>
          <w:color w:val="000000"/>
        </w:rPr>
        <w:t>ნაწილის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თანახმად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ბრძანებების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დანიშვნის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როგორიცაა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მაშინ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დამოუკიდებული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ტრიბუნალი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დარწმუნდება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</w:t>
      </w:r>
      <w:r>
        <w:rPr>
          <w:rFonts w:ascii="Arial Unicode MS" w:eastAsia="Arial Unicode MS" w:hAnsi="Arial Unicode MS" w:cs="Arial Unicode MS"/>
          <w:color w:val="000000"/>
        </w:rPr>
        <w:t>ნობის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მქონეა</w:t>
      </w:r>
      <w:r>
        <w:rPr>
          <w:rFonts w:ascii="Arial Unicode MS" w:eastAsia="Arial Unicode MS" w:hAnsi="Arial Unicode MS" w:cs="Arial Unicode MS"/>
          <w:color w:val="000000"/>
        </w:rPr>
        <w:t xml:space="preserve"> (impaired capacity); (</w:t>
      </w: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საჭიროა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საკითხზე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განხორციელებას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ჯანმრთელობისთვის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კეთილდღეობისთვის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რისკს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რომელსაც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შესაძლოა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მოჰყვეს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რისკი</w:t>
      </w:r>
      <w:r>
        <w:rPr>
          <w:rFonts w:ascii="Arial Unicode MS" w:eastAsia="Arial Unicode MS" w:hAnsi="Arial Unicode MS" w:cs="Arial Unicode MS"/>
          <w:color w:val="000000"/>
        </w:rPr>
        <w:t>); (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დანიშვნის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გარეშე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ინტერესები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დაკმაყოფილდება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დაცული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-15 </w:t>
      </w:r>
      <w:r>
        <w:rPr>
          <w:rFonts w:ascii="Arial Unicode MS" w:eastAsia="Arial Unicode MS" w:hAnsi="Arial Unicode MS" w:cs="Arial Unicode MS"/>
          <w:color w:val="000000"/>
        </w:rPr>
        <w:t>ნაწილის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ასარჩევად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ტრიბუნალმა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სათანადო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ყურადღება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მიაქციოს</w:t>
      </w:r>
      <w:r>
        <w:rPr>
          <w:rFonts w:ascii="Arial Unicode MS" w:eastAsia="Arial Unicode MS" w:hAnsi="Arial Unicode MS" w:cs="Arial Unicode MS"/>
          <w:color w:val="000000"/>
        </w:rPr>
        <w:t>, inter alia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ინტერესთა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კონფლიქტს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თავსებადობას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bookmarkStart w:id="3" w:name="1fob9te" w:colFirst="0" w:colLast="0"/>
      <w:bookmarkStart w:id="4" w:name="3znysh7" w:colFirst="0" w:colLast="0"/>
      <w:bookmarkEnd w:id="3"/>
      <w:bookmarkEnd w:id="4"/>
    </w:p>
    <w:p w14:paraId="6E6BD96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bookmarkStart w:id="5" w:name="_tyjcwt" w:colFirst="0" w:colLast="0"/>
      <w:bookmarkEnd w:id="5"/>
      <w:r>
        <w:rPr>
          <w:rFonts w:ascii="Arial Unicode MS" w:eastAsia="Arial Unicode MS" w:hAnsi="Arial Unicode MS" w:cs="Arial Unicode MS"/>
          <w:color w:val="000000"/>
        </w:rPr>
        <w:t>4.18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სარჩელში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ზოგიერთ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ჰქონდა</w:t>
      </w:r>
      <w:r>
        <w:rPr>
          <w:rFonts w:ascii="Arial Unicode MS" w:eastAsia="Arial Unicode MS" w:hAnsi="Arial Unicode MS" w:cs="Arial Unicode MS"/>
          <w:color w:val="000000"/>
        </w:rPr>
        <w:t xml:space="preserve"> 2009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20 </w:t>
      </w:r>
      <w:r>
        <w:rPr>
          <w:rFonts w:ascii="Arial Unicode MS" w:eastAsia="Arial Unicode MS" w:hAnsi="Arial Unicode MS" w:cs="Arial Unicode MS"/>
          <w:color w:val="000000"/>
        </w:rPr>
        <w:t>სექტემბრამდე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გაგრძელდა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შემდეგაც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</w:t>
      </w:r>
      <w:r>
        <w:rPr>
          <w:rFonts w:ascii="Arial Unicode MS" w:eastAsia="Arial Unicode MS" w:hAnsi="Arial Unicode MS" w:cs="Arial Unicode MS"/>
          <w:color w:val="000000"/>
        </w:rPr>
        <w:t>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ხაზს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უსვამს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ამოწურვისა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დასაბუთების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სხვადასხვა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</w:t>
      </w:r>
      <w:r>
        <w:rPr>
          <w:rFonts w:ascii="Arial Unicode MS" w:eastAsia="Arial Unicode MS" w:hAnsi="Arial Unicode MS" w:cs="Arial Unicode MS"/>
          <w:color w:val="000000"/>
        </w:rPr>
        <w:t>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დაწერა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ეხებოდა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</w:t>
      </w:r>
      <w:r>
        <w:rPr>
          <w:rFonts w:ascii="Arial Unicode MS" w:eastAsia="Arial Unicode MS" w:hAnsi="Arial Unicode MS" w:cs="Arial Unicode MS"/>
          <w:color w:val="000000"/>
        </w:rPr>
        <w:t>იმინაციას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კავშირშია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ეროვნული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ეროვნულ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საპარტნიორო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დაირღვა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</w:t>
      </w:r>
      <w:r>
        <w:rPr>
          <w:rFonts w:ascii="Arial Unicode MS" w:eastAsia="Arial Unicode MS" w:hAnsi="Arial Unicode MS" w:cs="Arial Unicode MS"/>
          <w:color w:val="000000"/>
        </w:rPr>
        <w:t>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მუხლები</w:t>
      </w:r>
      <w:r>
        <w:rPr>
          <w:rFonts w:ascii="Arial Unicode MS" w:eastAsia="Arial Unicode MS" w:hAnsi="Arial Unicode MS" w:cs="Arial Unicode MS"/>
          <w:color w:val="000000"/>
        </w:rPr>
        <w:t xml:space="preserve"> 5, 6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29 (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პროგრამებში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მეშვეობით</w:t>
      </w:r>
      <w:r>
        <w:rPr>
          <w:rFonts w:ascii="Arial Unicode MS" w:eastAsia="Arial Unicode MS" w:hAnsi="Arial Unicode MS" w:cs="Arial Unicode MS"/>
          <w:color w:val="000000"/>
        </w:rPr>
        <w:t>, „</w:t>
      </w:r>
      <w:r>
        <w:rPr>
          <w:rFonts w:ascii="Arial Unicode MS" w:eastAsia="Arial Unicode MS" w:hAnsi="Arial Unicode MS" w:cs="Arial Unicode MS"/>
          <w:color w:val="000000"/>
        </w:rPr>
        <w:t>წაახალისებდა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დამატებით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>წვევდა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ავალებდა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აიძულებდა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ეხმარებოდა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კონტექსტში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კომისია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პირველ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რიგში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საჩივართან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მიღწევას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შეეცადოს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უკანონი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წარმატების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მაჩვენებელი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9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კანონზეა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დაფუძნებული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შეტყობინების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</w:t>
      </w:r>
      <w:r>
        <w:rPr>
          <w:rFonts w:ascii="Arial Unicode MS" w:eastAsia="Arial Unicode MS" w:hAnsi="Arial Unicode MS" w:cs="Arial Unicode MS"/>
          <w:color w:val="000000"/>
        </w:rPr>
        <w:t>იასთან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საგანი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ამიტომაც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შეეძლო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ფედერალურ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წარმართვა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მიზნით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3A8129AD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4.19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 xml:space="preserve">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19 </w:t>
      </w:r>
      <w:r>
        <w:rPr>
          <w:rFonts w:ascii="Arial Unicode MS" w:eastAsia="Arial Unicode MS" w:hAnsi="Arial Unicode MS" w:cs="Arial Unicode MS"/>
          <w:color w:val="000000"/>
        </w:rPr>
        <w:t>მაისს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აცნობა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შეეწყვიტა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46PH(1) </w:t>
      </w:r>
      <w:r>
        <w:rPr>
          <w:rFonts w:ascii="Arial Unicode MS" w:eastAsia="Arial Unicode MS" w:hAnsi="Arial Unicode MS" w:cs="Arial Unicode MS"/>
          <w:color w:val="000000"/>
        </w:rPr>
        <w:t>ნაწილის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არსებობდა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მოგვარების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გონივრული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პერსპექტივ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შეწყვეტა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მოსაჩივრეს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აძლევს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ფედერალურ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განაგრძოს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უკანონო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სასარჩელო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მოიძიოს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რამდენიმე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წარმატებულ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</w:t>
      </w:r>
      <w:r>
        <w:rPr>
          <w:rFonts w:ascii="Arial Unicode MS" w:eastAsia="Arial Unicode MS" w:hAnsi="Arial Unicode MS" w:cs="Arial Unicode MS"/>
          <w:color w:val="000000"/>
        </w:rPr>
        <w:t>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შეტანილია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შემავალი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0"/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ეფუძნება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აღნიშნულია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</w:t>
      </w:r>
      <w:r>
        <w:rPr>
          <w:rFonts w:ascii="Arial Unicode MS" w:eastAsia="Arial Unicode MS" w:hAnsi="Arial Unicode MS" w:cs="Arial Unicode MS"/>
          <w:color w:val="000000"/>
        </w:rPr>
        <w:t>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ქეისებში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კომპენსაციის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ფორმებს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პროცედურების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თანახმად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უკანონო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აღმოაჩენს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მიზანშეწონილობის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კომპენსაციად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მიიჩნიოს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ბოდიშის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მოხდა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ფულადი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ანაზღაურება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საქონლის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მიწოდება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დეკლარირება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მოპასუხე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ნამდვილად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სასამართლომ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მოპასუხე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დაავალდებულოს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გაიმეოროს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მსგავსი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აუნაზღაუროს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დანაკარგი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ზიანი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გამოსც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მომჩივნისთვის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ფულადი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კომპენსაციის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გადახდას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მიყენებული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სანაცვლოდ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828AE1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4.20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გაცემის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თარიღისთვის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დამატებითი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. 60 </w:t>
      </w:r>
      <w:r>
        <w:rPr>
          <w:rFonts w:ascii="Arial Unicode MS" w:eastAsia="Arial Unicode MS" w:hAnsi="Arial Unicode MS" w:cs="Arial Unicode MS"/>
          <w:color w:val="000000"/>
        </w:rPr>
        <w:t>დღიანი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ხანდაზმულობის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მოიწურა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გახანგრძლივების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მიუმართავს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მიზეზებს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ქუინსლენდში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გონივრულად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შიდასამართლებრივი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მიუხ</w:t>
      </w:r>
      <w:r>
        <w:rPr>
          <w:rFonts w:ascii="Arial Unicode MS" w:eastAsia="Arial Unicode MS" w:hAnsi="Arial Unicode MS" w:cs="Arial Unicode MS"/>
          <w:color w:val="000000"/>
        </w:rPr>
        <w:t>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(d) </w:t>
      </w:r>
      <w:r>
        <w:rPr>
          <w:rFonts w:ascii="Arial Unicode MS" w:eastAsia="Arial Unicode MS" w:hAnsi="Arial Unicode MS" w:cs="Arial Unicode MS"/>
          <w:color w:val="000000"/>
        </w:rPr>
        <w:t>ქვეპუნქტი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მაინც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შიდასამართლებრივი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გახანგრძლივებულია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ნაკლებად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სავარაუდოა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გამოიღებს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რჩევები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წარმატების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შანსი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აღსანიშნავია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</w:t>
      </w:r>
      <w:r>
        <w:rPr>
          <w:rFonts w:ascii="Arial Unicode MS" w:eastAsia="Arial Unicode MS" w:hAnsi="Arial Unicode MS" w:cs="Arial Unicode MS"/>
          <w:color w:val="000000"/>
        </w:rPr>
        <w:t>ულებები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არსებობს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BAB4C79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რჩევის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იურისპუდენციაზე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თანახმად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ეჭვები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</w:t>
      </w:r>
      <w:r>
        <w:rPr>
          <w:rFonts w:ascii="Arial Unicode MS" w:eastAsia="Arial Unicode MS" w:hAnsi="Arial Unicode MS" w:cs="Arial Unicode MS"/>
          <w:color w:val="000000"/>
        </w:rPr>
        <w:t>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მიზეზი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მომჩივანმა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ბოლომდე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გამოიყენოს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1"/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1991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ანტიდისკრიმინაციუ</w:t>
      </w:r>
      <w:r>
        <w:rPr>
          <w:rFonts w:ascii="Arial Unicode MS" w:eastAsia="Arial Unicode MS" w:hAnsi="Arial Unicode MS" w:cs="Arial Unicode MS"/>
          <w:color w:val="000000"/>
        </w:rPr>
        <w:t>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აქედან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ბოლომდე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ამოუწურავს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მიიჩნეოდეს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5A18691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მოითხოვა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-11 (1) (f)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-20 (1) (b) </w:t>
      </w:r>
      <w:r>
        <w:rPr>
          <w:rFonts w:ascii="Arial Unicode MS" w:eastAsia="Arial Unicode MS" w:hAnsi="Arial Unicode MS" w:cs="Arial Unicode MS"/>
          <w:color w:val="000000"/>
        </w:rPr>
        <w:t>მუხლების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კომისიას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გამოეძიებინა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პრაქტიკებში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შეესაბამებოდ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ეძებდა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შესაბამის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</w:t>
      </w:r>
      <w:r>
        <w:rPr>
          <w:rFonts w:ascii="Arial Unicode MS" w:eastAsia="Arial Unicode MS" w:hAnsi="Arial Unicode MS" w:cs="Arial Unicode MS"/>
          <w:color w:val="000000"/>
        </w:rPr>
        <w:t xml:space="preserve">“,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მისცემდნენ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ეძებდა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სათანადო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სპეციფიკურ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</w:t>
      </w:r>
      <w:r>
        <w:rPr>
          <w:rFonts w:ascii="Arial Unicode MS" w:eastAsia="Arial Unicode MS" w:hAnsi="Arial Unicode MS" w:cs="Arial Unicode MS"/>
          <w:color w:val="000000"/>
        </w:rPr>
        <w:t>აც</w:t>
      </w:r>
      <w:r>
        <w:rPr>
          <w:rFonts w:ascii="Arial Unicode MS" w:eastAsia="Arial Unicode MS" w:hAnsi="Arial Unicode MS" w:cs="Arial Unicode MS"/>
          <w:color w:val="000000"/>
        </w:rPr>
        <w:t xml:space="preserve">, [...]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მიეღწია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მაქსიმალური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ფიზიკური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აქტიურობისთვის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შეენარჩუნებინა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“. 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19 </w:t>
      </w:r>
      <w:r>
        <w:rPr>
          <w:rFonts w:ascii="Arial Unicode MS" w:eastAsia="Arial Unicode MS" w:hAnsi="Arial Unicode MS" w:cs="Arial Unicode MS"/>
          <w:color w:val="000000"/>
        </w:rPr>
        <w:t>მაისით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დათარიღებულ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წერილში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აცნობა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იძიებდა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ზოგიერთ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ასპექტს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აკეთებ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მაშინაც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შენიშვნები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მხრივ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იურისპუდენციაზე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ამგვარი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გამოძიება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თუნდაც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სასარგებლოდ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მიჩნეული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სიტყვის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მნიშვნელობით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2"/>
      </w:r>
    </w:p>
    <w:p w14:paraId="70B41C86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უშლის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</w:t>
      </w:r>
      <w:r>
        <w:rPr>
          <w:rFonts w:ascii="Arial Unicode MS" w:eastAsia="Arial Unicode MS" w:hAnsi="Arial Unicode MS" w:cs="Arial Unicode MS"/>
          <w:color w:val="000000"/>
        </w:rPr>
        <w:t>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დაწყებაში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ნაცვლად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აიღოს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უფლებამოსილების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სერტიფიკატი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დაინიშნება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3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განმარტების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გაურკვეველია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რამდენად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უშლის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დაწყებაში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8B73531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bookmarkStart w:id="6" w:name="_3dy6vkm" w:colFirst="0" w:colLast="0"/>
      <w:bookmarkEnd w:id="6"/>
      <w:r>
        <w:rPr>
          <w:rFonts w:ascii="Arial Unicode MS" w:eastAsia="Arial Unicode MS" w:hAnsi="Arial Unicode MS" w:cs="Arial Unicode MS"/>
          <w:color w:val="000000"/>
        </w:rPr>
        <w:t>4.24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მტკიცებულებები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რომელიმე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მხარდასაჭერად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გამწვავდა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გვაწვდის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>ნფორმაციას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გასცემდა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ურთავს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თანხმობას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წვდომა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რელევანტურ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დოკუმენტაციაზე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შესწავლაც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სიტუაციის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მისცე</w:t>
      </w:r>
      <w:r>
        <w:rPr>
          <w:rFonts w:ascii="Arial Unicode MS" w:eastAsia="Arial Unicode MS" w:hAnsi="Arial Unicode MS" w:cs="Arial Unicode MS"/>
          <w:color w:val="000000"/>
        </w:rPr>
        <w:t>მდა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ამბობს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მიჩნეული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(e) </w:t>
      </w:r>
      <w:r>
        <w:rPr>
          <w:rFonts w:ascii="Arial Unicode MS" w:eastAsia="Arial Unicode MS" w:hAnsi="Arial Unicode MS" w:cs="Arial Unicode MS"/>
          <w:color w:val="000000"/>
        </w:rPr>
        <w:t>ქვეპუნქტის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დასაშვებად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37808406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</w:t>
      </w:r>
      <w:r>
        <w:rPr>
          <w:rFonts w:ascii="Arial Unicode MS" w:eastAsia="Arial Unicode MS" w:hAnsi="Arial Unicode MS" w:cs="Arial Unicode MS"/>
          <w:color w:val="000000"/>
        </w:rPr>
        <w:t>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-19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იცხოვროს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სპეციფიკურ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გარემოში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მნიშვნე</w:t>
      </w:r>
      <w:r>
        <w:rPr>
          <w:rFonts w:ascii="Arial Unicode MS" w:eastAsia="Arial Unicode MS" w:hAnsi="Arial Unicode MS" w:cs="Arial Unicode MS"/>
          <w:color w:val="000000"/>
        </w:rPr>
        <w:t>ლოვან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ხარჯვას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ზოგადად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დროის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მოკლე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პერიოდში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4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პროგრესული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იმოქმედოს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დაუყოვნებელი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მოქმედების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დააკმაყოფილოს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ისურვებდნენ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მიაწვდის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</w:t>
      </w:r>
      <w:r>
        <w:rPr>
          <w:rFonts w:ascii="Arial Unicode MS" w:eastAsia="Arial Unicode MS" w:hAnsi="Arial Unicode MS" w:cs="Arial Unicode MS"/>
          <w:color w:val="000000"/>
        </w:rPr>
        <w:t>ვრებელს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5855B13F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4.26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ეთანხმება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უთხრა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</w:t>
      </w:r>
      <w:r>
        <w:rPr>
          <w:rFonts w:ascii="Arial Unicode MS" w:eastAsia="Arial Unicode MS" w:hAnsi="Arial Unicode MS" w:cs="Arial Unicode MS"/>
          <w:color w:val="000000"/>
        </w:rPr>
        <w:t>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აერჩია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თანასწორად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-19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გასაგება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ბარიერები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ექმნება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6A7D9A45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4.27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მიმართ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განსახლებისა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</w:t>
      </w:r>
      <w:r>
        <w:rPr>
          <w:rFonts w:ascii="Arial Unicode MS" w:eastAsia="Arial Unicode MS" w:hAnsi="Arial Unicode MS" w:cs="Arial Unicode MS"/>
          <w:color w:val="000000"/>
        </w:rPr>
        <w:t>გადოებრივი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შეიმუშავა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მარაგის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ალოკაციის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მენეჯმენტის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სტრატეგია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ეკონომიკურ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კულტურულ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აღიარა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ალოკაციის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ზღვარი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ზღვარი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ჩამოყალიბების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პატივს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სცემენ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იცავენ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აკმაყოფილებენ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საერთაშორისო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პაქტით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ნაკისრ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ვალდებულებებს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5"/>
      </w:r>
      <w:r>
        <w:rPr>
          <w:rFonts w:ascii="Merriweather" w:eastAsia="Merriweather" w:hAnsi="Merriweather" w:cs="Merriweather"/>
          <w:color w:val="000000"/>
        </w:rPr>
        <w:t xml:space="preserve">  </w:t>
      </w:r>
    </w:p>
    <w:p w14:paraId="6F9447D8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4.28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ალტერნატიული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მოძებნის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მცდელობის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განმავლობაში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პატივს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სცემდა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ეცხოვრა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მაშინაც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ამცირებდა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პოტენციური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ვარიანტებს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აგრძელებს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</w:t>
      </w:r>
      <w:r>
        <w:rPr>
          <w:rFonts w:ascii="Arial Unicode MS" w:eastAsia="Arial Unicode MS" w:hAnsi="Arial Unicode MS" w:cs="Arial Unicode MS"/>
          <w:color w:val="000000"/>
        </w:rPr>
        <w:t>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ეტაპობრივ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განხორციელებას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-19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პუნქტები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ავალდებულებს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გზებით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ცდილობს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შეძლებენ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ოჯა</w:t>
      </w:r>
      <w:r>
        <w:rPr>
          <w:rFonts w:ascii="Arial Unicode MS" w:eastAsia="Arial Unicode MS" w:hAnsi="Arial Unicode MS" w:cs="Arial Unicode MS"/>
          <w:color w:val="000000"/>
        </w:rPr>
        <w:t>ხებისა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მზრუნველების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დაკმაყოფილებას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გზები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ადგილობრივ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პრიორიტეტებს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შეესაბამებოდეს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აღწერს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პოლიტიკებსა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დახარჯულ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თანხასაც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ჩამოთვლის</w:t>
      </w:r>
      <w:r>
        <w:rPr>
          <w:rFonts w:ascii="Arial Unicode MS" w:eastAsia="Arial Unicode MS" w:hAnsi="Arial Unicode MS" w:cs="Arial Unicode MS"/>
          <w:color w:val="000000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</w:rPr>
        <w:t>ადამი</w:t>
      </w:r>
      <w:r>
        <w:rPr>
          <w:rFonts w:ascii="Arial Unicode MS" w:eastAsia="Arial Unicode MS" w:hAnsi="Arial Unicode MS" w:cs="Arial Unicode MS"/>
          <w:color w:val="000000"/>
        </w:rPr>
        <w:t>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მაგალითს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რომელთაც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მსგავსად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დაწესებულებებიდან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2011 </w:t>
      </w:r>
      <w:r>
        <w:rPr>
          <w:rFonts w:ascii="Arial Unicode MS" w:eastAsia="Arial Unicode MS" w:hAnsi="Arial Unicode MS" w:cs="Arial Unicode MS"/>
          <w:color w:val="000000"/>
        </w:rPr>
        <w:t>წლიდან</w:t>
      </w:r>
      <w:r>
        <w:rPr>
          <w:rFonts w:ascii="Arial Unicode MS" w:eastAsia="Arial Unicode MS" w:hAnsi="Arial Unicode MS" w:cs="Arial Unicode MS"/>
          <w:color w:val="000000"/>
        </w:rPr>
        <w:t xml:space="preserve"> 2014 </w:t>
      </w:r>
      <w:r>
        <w:rPr>
          <w:rFonts w:ascii="Arial Unicode MS" w:eastAsia="Arial Unicode MS" w:hAnsi="Arial Unicode MS" w:cs="Arial Unicode MS"/>
          <w:color w:val="000000"/>
        </w:rPr>
        <w:t>წლამდე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გაეწერნენ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პაკეტები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ჰქონდათ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შეუწყობდ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ხელს</w:t>
      </w:r>
      <w:r>
        <w:rPr>
          <w:rFonts w:ascii="Arial Unicode MS" w:eastAsia="Arial Unicode MS" w:hAnsi="Arial Unicode MS" w:cs="Arial Unicode MS"/>
          <w:color w:val="000000"/>
        </w:rPr>
        <w:t xml:space="preserve">. 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ივლისისთვის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</w:t>
      </w:r>
      <w:r>
        <w:rPr>
          <w:rFonts w:ascii="Arial Unicode MS" w:eastAsia="Arial Unicode MS" w:hAnsi="Arial Unicode MS" w:cs="Arial Unicode MS"/>
          <w:color w:val="000000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ხოლო</w:t>
      </w:r>
      <w:r>
        <w:rPr>
          <w:rFonts w:ascii="Arial Unicode MS" w:eastAsia="Arial Unicode MS" w:hAnsi="Arial Unicode MS" w:cs="Arial Unicode MS"/>
          <w:color w:val="000000"/>
        </w:rPr>
        <w:t xml:space="preserve"> 18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ტრანზიციას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ელოდებოდა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ითხოვდა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დასტურია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რაღაც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ეტაპზე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შესთავაზებდნენ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აქედან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-19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6951033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4.29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შემოთავაზებას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</w:t>
      </w:r>
      <w:r>
        <w:rPr>
          <w:rFonts w:ascii="Arial Unicode MS" w:eastAsia="Arial Unicode MS" w:hAnsi="Arial Unicode MS" w:cs="Arial Unicode MS"/>
          <w:color w:val="000000"/>
        </w:rPr>
        <w:t>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დაიხუროს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ფუნქციონირებაში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დახარჯული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სათემო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მოხმარდეს</w:t>
      </w:r>
      <w:r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6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უსახლკარობამდე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მიიყვანდა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ადაპტირებული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სათანადოდ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დაკმაყოფილდებოდა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3F9B2934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jc w:val="both"/>
        <w:rPr>
          <w:rFonts w:ascii="Merriweather" w:eastAsia="Merriweather" w:hAnsi="Merriweather" w:cs="Merriweather"/>
          <w:i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28 - </w:t>
      </w:r>
      <w:r>
        <w:rPr>
          <w:rFonts w:ascii="Arial Unicode MS" w:eastAsia="Arial Unicode MS" w:hAnsi="Arial Unicode MS" w:cs="Arial Unicode MS"/>
          <w:i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სტანდარტისთვის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მაქსიმალური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რესურსებისა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დაცვის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პროგრესული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რეალიზაციის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უფლება</w:t>
      </w:r>
    </w:p>
    <w:p w14:paraId="3E887DF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4.30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ინტერპრეტირდეს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სიტუაციის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გავიგოთ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 (2)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შესაბამისობაშ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მიმართოს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მაქსიმალური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ეტაპობრივად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მიაღწიოს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რეალიზაციას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7"/>
      </w:r>
      <w:r>
        <w:rPr>
          <w:rFonts w:ascii="Merriweather" w:eastAsia="Merriweather" w:hAnsi="Merriweather" w:cs="Merriweather"/>
          <w:color w:val="000000"/>
        </w:rPr>
        <w:t xml:space="preserve">  </w:t>
      </w:r>
    </w:p>
    <w:p w14:paraId="155550E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</w:t>
      </w:r>
      <w:r>
        <w:rPr>
          <w:rFonts w:ascii="Arial Unicode MS" w:eastAsia="Arial Unicode MS" w:hAnsi="Arial Unicode MS" w:cs="Arial Unicode MS"/>
          <w:color w:val="000000"/>
        </w:rPr>
        <w:t>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დარწმუნდეს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მოქალაქეებს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გარეშე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ვალდებულებაა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მთელ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პოპულაციას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მისცეს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მოთხოვნისთანავე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მიაწოდოს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აღწერს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დაფინანსების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წყაროებსა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გათვლილი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თანდათანობით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ფონდებისა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ეროვნული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</w:t>
      </w:r>
      <w:r>
        <w:rPr>
          <w:rFonts w:ascii="Arial Unicode MS" w:eastAsia="Arial Unicode MS" w:hAnsi="Arial Unicode MS" w:cs="Arial Unicode MS"/>
          <w:color w:val="000000"/>
        </w:rPr>
        <w:t>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შევიდა</w:t>
      </w:r>
      <w:r>
        <w:rPr>
          <w:rFonts w:ascii="Arial Unicode MS" w:eastAsia="Arial Unicode MS" w:hAnsi="Arial Unicode MS" w:cs="Arial Unicode MS"/>
          <w:color w:val="000000"/>
        </w:rPr>
        <w:t xml:space="preserve"> 2009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</w:rPr>
        <w:t>იანვარს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(2) (d) </w:t>
      </w:r>
      <w:r>
        <w:rPr>
          <w:rFonts w:ascii="Arial Unicode MS" w:eastAsia="Arial Unicode MS" w:hAnsi="Arial Unicode MS" w:cs="Arial Unicode MS"/>
          <w:color w:val="000000"/>
        </w:rPr>
        <w:t>მუხლი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</w:t>
      </w:r>
      <w:r>
        <w:rPr>
          <w:rFonts w:ascii="Arial Unicode MS" w:eastAsia="Arial Unicode MS" w:hAnsi="Arial Unicode MS" w:cs="Arial Unicode MS"/>
          <w:color w:val="000000"/>
        </w:rPr>
        <w:t>ვდომობის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არაერთხელ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უთხრა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უარი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უარყოფს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ამბობს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იდენტიფიცირდა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ძალიან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ქალაქგარეთ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რომელში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სურს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მომლოდინეთა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სათავეშია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50DCEDE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i/>
          <w:color w:val="000000"/>
        </w:rPr>
      </w:pPr>
      <w:bookmarkStart w:id="7" w:name="_1t3h5sf" w:colFirst="0" w:colLast="0"/>
      <w:bookmarkEnd w:id="7"/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14 — </w:t>
      </w:r>
      <w:r>
        <w:rPr>
          <w:rFonts w:ascii="Arial Unicode MS" w:eastAsia="Arial Unicode MS" w:hAnsi="Arial Unicode MS" w:cs="Arial Unicode MS"/>
          <w:i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თავისუფლებისა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უსაფრთხოების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 </w:t>
      </w:r>
    </w:p>
    <w:p w14:paraId="7DC5D46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წართმევა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იძულებითი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დაკავებაა</w:t>
      </w:r>
      <w:r>
        <w:rPr>
          <w:rFonts w:ascii="Arial Unicode MS" w:eastAsia="Arial Unicode MS" w:hAnsi="Arial Unicode MS" w:cs="Arial Unicode MS"/>
          <w:color w:val="000000"/>
        </w:rPr>
        <w:t>“ „</w:t>
      </w:r>
      <w:r>
        <w:rPr>
          <w:rFonts w:ascii="Arial Unicode MS" w:eastAsia="Arial Unicode MS" w:hAnsi="Arial Unicode MS" w:cs="Arial Unicode MS"/>
          <w:color w:val="000000"/>
        </w:rPr>
        <w:t>გარკვეულ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დასაზღვრულ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ადგილას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</w:t>
      </w:r>
      <w:r>
        <w:rPr>
          <w:rFonts w:ascii="Arial Unicode MS" w:eastAsia="Arial Unicode MS" w:hAnsi="Arial Unicode MS" w:cs="Arial Unicode MS"/>
          <w:color w:val="000000"/>
        </w:rPr>
        <w:t>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სექტემბრის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ამბობს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იძულებითობის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ტესტია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რამდენად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გამართლებული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გონივრული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აუცილებელი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პროპორციულია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მიზანთან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8"/>
      </w:r>
      <w:r>
        <w:rPr>
          <w:rFonts w:ascii="Merriweather" w:eastAsia="Merriweather" w:hAnsi="Merriweather" w:cs="Merriweather"/>
          <w:color w:val="000000"/>
        </w:rPr>
        <w:t xml:space="preserve">   </w:t>
      </w:r>
    </w:p>
    <w:p w14:paraId="2972E86F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4.33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ამბობს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კოგნიტური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24-</w:t>
      </w:r>
      <w:r>
        <w:rPr>
          <w:rFonts w:ascii="Arial Unicode MS" w:eastAsia="Arial Unicode MS" w:hAnsi="Arial Unicode MS" w:cs="Arial Unicode MS"/>
          <w:color w:val="000000"/>
        </w:rPr>
        <w:t>საათიან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სუბსტანციურ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დახმარებას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მაინც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</w:t>
      </w:r>
      <w:r>
        <w:rPr>
          <w:rFonts w:ascii="Arial Unicode MS" w:eastAsia="Arial Unicode MS" w:hAnsi="Arial Unicode MS" w:cs="Arial Unicode MS"/>
          <w:color w:val="000000"/>
        </w:rPr>
        <w:t>იროებს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გაურკვეველია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მართლაც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გარეშე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გაურკვეველია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ეუბნებიან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ეუბნებიან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>წესებულებიდან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გასვლისას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კურსში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ჩაყენებას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შეთანხმებას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იძულებითაა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ასისტირების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სჭირდება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</w:t>
      </w:r>
      <w:r>
        <w:rPr>
          <w:rFonts w:ascii="Arial Unicode MS" w:eastAsia="Arial Unicode MS" w:hAnsi="Arial Unicode MS" w:cs="Arial Unicode MS"/>
          <w:color w:val="000000"/>
        </w:rPr>
        <w:t>ბმა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იცოდნენ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ადგილსამყოფელის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უსაფრთხოებაში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დასარწმუნებლად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რელევანტური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უზრუნველსაყოფად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მცხოვრებ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აქტივობებშ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ოჯახისა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მეგობრების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მოსანახულებლად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ამიტომ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იძულებით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დაკავებულები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არიან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მზრუნველობისა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მთელ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მოსაზრებებსა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გარანტიებს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ეყრდნობა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</w:t>
      </w:r>
      <w:r>
        <w:rPr>
          <w:rFonts w:ascii="Arial Unicode MS" w:eastAsia="Arial Unicode MS" w:hAnsi="Arial Unicode MS" w:cs="Arial Unicode MS"/>
          <w:color w:val="000000"/>
        </w:rPr>
        <w:t>ხორციელდეს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ტრიბუნალი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დარწმუნდება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ქმედუნარიანობა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განხორციელდეს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ჯანმრთელობისთვის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კეთილდღეობისთვის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საკუთრებისთვის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გაუმართლებელ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რისკს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წარმოადგენდეს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მეურვეობის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დაენიშნა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</w:t>
      </w:r>
      <w:r>
        <w:rPr>
          <w:rFonts w:ascii="Arial Unicode MS" w:eastAsia="Arial Unicode MS" w:hAnsi="Arial Unicode MS" w:cs="Arial Unicode MS"/>
          <w:color w:val="000000"/>
        </w:rPr>
        <w:t>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დაკაბშირებით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მეურვეობის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ქვეშ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მყოფი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უსაფრთხოება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კეთილდღეობა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მოითხოვს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შეშლას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იცხოვროს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იქირა</w:t>
      </w:r>
      <w:r>
        <w:rPr>
          <w:rFonts w:ascii="Arial Unicode MS" w:eastAsia="Arial Unicode MS" w:hAnsi="Arial Unicode MS" w:cs="Arial Unicode MS"/>
          <w:color w:val="000000"/>
        </w:rPr>
        <w:t>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კერძო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პოზიცია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აძლევს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ლიმიტირებული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საკითხებიცაა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ისეთი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უშლის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საბინაო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ბაზარში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იცხოვროს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ოჯახთან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იძულებით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გაწერილია</w:t>
      </w:r>
      <w:r>
        <w:rPr>
          <w:rFonts w:ascii="Arial Unicode MS" w:eastAsia="Arial Unicode MS" w:hAnsi="Arial Unicode MS" w:cs="Arial Unicode MS"/>
          <w:color w:val="000000"/>
        </w:rPr>
        <w:t xml:space="preserve"> 14 (1) </w:t>
      </w:r>
      <w:r>
        <w:rPr>
          <w:rFonts w:ascii="Arial Unicode MS" w:eastAsia="Arial Unicode MS" w:hAnsi="Arial Unicode MS" w:cs="Arial Unicode MS"/>
          <w:color w:val="000000"/>
        </w:rPr>
        <w:t>მუხლში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384BC2F7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i/>
          <w:color w:val="000000"/>
        </w:rPr>
      </w:pPr>
      <w:bookmarkStart w:id="8" w:name="_4d34og8" w:colFirst="0" w:colLast="0"/>
      <w:bookmarkEnd w:id="8"/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18 — </w:t>
      </w:r>
      <w:r>
        <w:rPr>
          <w:rFonts w:ascii="Arial Unicode MS" w:eastAsia="Arial Unicode MS" w:hAnsi="Arial Unicode MS" w:cs="Arial Unicode MS"/>
          <w:i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თავისუფლებისა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ეროვნების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უფლებები</w:t>
      </w:r>
    </w:p>
    <w:p w14:paraId="4D835300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დაუსაბუთებელია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ეყრდნობა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იურისპუდენციას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განუყოფელია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განვითარებისგან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19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კანონიერად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იმყოფება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ფარგლებში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სარგებლობს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თითეული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ირჩევს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ადგილსაც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0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</w:t>
      </w:r>
      <w:r>
        <w:rPr>
          <w:rFonts w:ascii="Arial Unicode MS" w:eastAsia="Arial Unicode MS" w:hAnsi="Arial Unicode MS" w:cs="Arial Unicode MS"/>
          <w:color w:val="000000"/>
        </w:rPr>
        <w:t>აქტებს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მოიშველიებს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გამოიყენებდა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 (1)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ირღვევა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ახდენს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გავლენას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</w:t>
      </w:r>
      <w:r>
        <w:rPr>
          <w:rFonts w:ascii="Arial Unicode MS" w:eastAsia="Arial Unicode MS" w:hAnsi="Arial Unicode MS" w:cs="Arial Unicode MS"/>
          <w:color w:val="000000"/>
        </w:rPr>
        <w:t>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აირჩიოს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რეკრეაციულ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აქტივობებში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ზოგჯერ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გულისხმობს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ნებართვა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აიღოს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ხოლმე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დატოვებისას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არამედ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მხარდასაჭერად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213F59A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აირჩიოს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თანასწორად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იმეორებს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განსახლებისა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დეპარტამენტი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განუწყვეტლივ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უჭერდა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ეცხოვრა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სხვების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თანასწორად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მიღების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ალბათობაზე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ზემოქმედებდა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აქედან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კუთხით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2C1DD2E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jc w:val="both"/>
        <w:rPr>
          <w:rFonts w:ascii="Merriweather" w:eastAsia="Merriweather" w:hAnsi="Merriweather" w:cs="Merriweather"/>
          <w:i/>
          <w:color w:val="000000"/>
        </w:rPr>
      </w:pPr>
      <w:bookmarkStart w:id="9" w:name="_2s8eyo1" w:colFirst="0" w:colLast="0"/>
      <w:bookmarkEnd w:id="9"/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22 — </w:t>
      </w:r>
      <w:r>
        <w:rPr>
          <w:rFonts w:ascii="Arial Unicode MS" w:eastAsia="Arial Unicode MS" w:hAnsi="Arial Unicode MS" w:cs="Arial Unicode MS"/>
          <w:i/>
          <w:color w:val="000000"/>
        </w:rPr>
        <w:t>პრივატულობასთან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i/>
          <w:color w:val="000000"/>
        </w:rPr>
        <w:t>ოჯახთან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i/>
          <w:color w:val="000000"/>
        </w:rPr>
        <w:t>სახლთან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i/>
          <w:color w:val="000000"/>
        </w:rPr>
        <w:t>კორესპონდენციასთან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კომუნიკაციის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სხვა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ტიპთან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თვითნებური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ან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უკანონო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ჩარევის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დაცვის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</w:p>
    <w:p w14:paraId="324EE516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4.36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</w:t>
      </w:r>
      <w:r>
        <w:rPr>
          <w:rFonts w:ascii="Arial Unicode MS" w:eastAsia="Arial Unicode MS" w:hAnsi="Arial Unicode MS" w:cs="Arial Unicode MS"/>
          <w:color w:val="000000"/>
        </w:rPr>
        <w:t>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იურისპუნდენციას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ეყრდნობა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ავტორიზებული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თავის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მხრივ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პაქტი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დებულებებს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მიზნებსა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ამოცანებს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შეესაბამებოდეს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1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თითოეულ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განსაზღვრულმა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ორგანომ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2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ვინაიდან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სწორედ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ესაა</w:t>
      </w:r>
      <w:r>
        <w:rPr>
          <w:rFonts w:ascii="Arial Unicode MS" w:eastAsia="Arial Unicode MS" w:hAnsi="Arial Unicode MS" w:cs="Arial Unicode MS"/>
          <w:color w:val="000000"/>
        </w:rPr>
        <w:t xml:space="preserve"> (22-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გაგებისთვის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</w:t>
      </w:r>
      <w:r>
        <w:rPr>
          <w:rFonts w:ascii="Arial Unicode MS" w:eastAsia="Arial Unicode MS" w:hAnsi="Arial Unicode MS" w:cs="Arial Unicode MS"/>
          <w:color w:val="000000"/>
        </w:rPr>
        <w:t>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თანხმობის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გარეშე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სახლში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შეჭრა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ჩარევას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3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ჩარევა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დასაშვები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კანონიერია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თვითნებური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ოთახში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რომელშიც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პირადი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ნივთების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შესანახი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ადგილებია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მაცხოვრებლებსა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მიმღებ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ადამიანებსაც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აგრეთვე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დაფებიც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დაწერონ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შენიშვნები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დაკიდონ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ფოტოები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7B73963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4.37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თანამშრომლებს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ოთახთან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რეგულარული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წვდომა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წვდომა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</w:t>
      </w:r>
      <w:r>
        <w:rPr>
          <w:rFonts w:ascii="Arial Unicode MS" w:eastAsia="Arial Unicode MS" w:hAnsi="Arial Unicode MS" w:cs="Arial Unicode MS"/>
          <w:color w:val="000000"/>
        </w:rPr>
        <w:t>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გონივრულია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ითქვას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პრივატულობის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პატივისცემით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პრივატულობაში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ოჯახში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სახლსა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კორესპონდენციაში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თვითნებური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უკანონო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მტკიცებულება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წამოადგინა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6B214DE0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i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26 — </w:t>
      </w:r>
      <w:r>
        <w:rPr>
          <w:rFonts w:ascii="Arial Unicode MS" w:eastAsia="Arial Unicode MS" w:hAnsi="Arial Unicode MS" w:cs="Arial Unicode MS"/>
          <w:i/>
          <w:color w:val="000000"/>
        </w:rPr>
        <w:t>აბილიტაციისა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პროგრესული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რეალიზაციის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i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მაქსიმალური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გამოყენებით</w:t>
      </w:r>
      <w:r>
        <w:rPr>
          <w:rFonts w:ascii="Arial Unicode MS" w:eastAsia="Arial Unicode MS" w:hAnsi="Arial Unicode MS" w:cs="Arial Unicode MS"/>
          <w:i/>
          <w:color w:val="000000"/>
        </w:rPr>
        <w:t>)</w:t>
      </w:r>
    </w:p>
    <w:p w14:paraId="77B56C14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4.38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</w:t>
      </w:r>
      <w:r>
        <w:rPr>
          <w:rFonts w:ascii="Arial Unicode MS" w:eastAsia="Arial Unicode MS" w:hAnsi="Arial Unicode MS" w:cs="Arial Unicode MS"/>
          <w:color w:val="000000"/>
        </w:rPr>
        <w:t>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საკუთარ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ზრუნვის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პროფესიული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ტიპის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პოტენციალის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დაეხმარებოდა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შედეგად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პასიური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დამოკიდებული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გახდა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აქ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ხაზს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უსვამს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</w:t>
      </w:r>
      <w:r>
        <w:rPr>
          <w:rFonts w:ascii="Arial Unicode MS" w:eastAsia="Arial Unicode MS" w:hAnsi="Arial Unicode MS" w:cs="Arial Unicode MS"/>
          <w:color w:val="000000"/>
        </w:rPr>
        <w:t>ალდებულებების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პროგრესულ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ეტაპობრივ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ხასიათს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მოწოდებულია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ადეკვატურ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სტანდარტს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მიაღწიოს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ჩათვლით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ასპექტში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ინკლუზიასა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</w:t>
      </w:r>
      <w:r>
        <w:rPr>
          <w:rFonts w:ascii="Arial Unicode MS" w:eastAsia="Arial Unicode MS" w:hAnsi="Arial Unicode MS" w:cs="Arial Unicode MS"/>
          <w:color w:val="000000"/>
        </w:rPr>
        <w:t>უწყოს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რეალიზაცია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მაქსიმალური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მიმდინარეობს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დანახარჯები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ინფლაციის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</w:t>
      </w:r>
      <w:r>
        <w:rPr>
          <w:rFonts w:ascii="Arial Unicode MS" w:eastAsia="Arial Unicode MS" w:hAnsi="Arial Unicode MS" w:cs="Arial Unicode MS"/>
          <w:color w:val="000000"/>
        </w:rPr>
        <w:t>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, 2013 </w:t>
      </w:r>
      <w:r>
        <w:rPr>
          <w:rFonts w:ascii="Arial Unicode MS" w:eastAsia="Arial Unicode MS" w:hAnsi="Arial Unicode MS" w:cs="Arial Unicode MS"/>
          <w:color w:val="000000"/>
        </w:rPr>
        <w:t>წელს</w:t>
      </w:r>
      <w:r>
        <w:rPr>
          <w:rFonts w:ascii="Arial Unicode MS" w:eastAsia="Arial Unicode MS" w:hAnsi="Arial Unicode MS" w:cs="Arial Unicode MS"/>
          <w:color w:val="000000"/>
        </w:rPr>
        <w:t xml:space="preserve">, 2011 </w:t>
      </w:r>
      <w:r>
        <w:rPr>
          <w:rFonts w:ascii="Arial Unicode MS" w:eastAsia="Arial Unicode MS" w:hAnsi="Arial Unicode MS" w:cs="Arial Unicode MS"/>
          <w:color w:val="000000"/>
        </w:rPr>
        <w:t>წელთან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შედარებით</w:t>
      </w:r>
      <w:r>
        <w:rPr>
          <w:rFonts w:ascii="Arial Unicode MS" w:eastAsia="Arial Unicode MS" w:hAnsi="Arial Unicode MS" w:cs="Arial Unicode MS"/>
          <w:color w:val="000000"/>
        </w:rPr>
        <w:t>, 4%-</w:t>
      </w:r>
      <w:r>
        <w:rPr>
          <w:rFonts w:ascii="Arial Unicode MS" w:eastAsia="Arial Unicode MS" w:hAnsi="Arial Unicode MS" w:cs="Arial Unicode MS"/>
          <w:color w:val="000000"/>
        </w:rPr>
        <w:t>ითაა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გაზრდილი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ხოლო</w:t>
      </w:r>
      <w:r>
        <w:rPr>
          <w:rFonts w:ascii="Arial Unicode MS" w:eastAsia="Arial Unicode MS" w:hAnsi="Arial Unicode MS" w:cs="Arial Unicode MS"/>
          <w:color w:val="000000"/>
        </w:rPr>
        <w:t xml:space="preserve"> 2008 </w:t>
      </w:r>
      <w:r>
        <w:rPr>
          <w:rFonts w:ascii="Arial Unicode MS" w:eastAsia="Arial Unicode MS" w:hAnsi="Arial Unicode MS" w:cs="Arial Unicode MS"/>
          <w:color w:val="000000"/>
        </w:rPr>
        <w:t>წელთან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შედარებით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- 23%-</w:t>
      </w:r>
      <w:r>
        <w:rPr>
          <w:rFonts w:ascii="Arial Unicode MS" w:eastAsia="Arial Unicode MS" w:hAnsi="Arial Unicode MS" w:cs="Arial Unicode MS"/>
          <w:color w:val="000000"/>
        </w:rPr>
        <w:t>ით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4"/>
      </w:r>
      <w:r>
        <w:rPr>
          <w:rFonts w:ascii="Merriweather" w:eastAsia="Merriweather" w:hAnsi="Merriweather" w:cs="Merriweather"/>
          <w:color w:val="000000"/>
        </w:rPr>
        <w:t xml:space="preserve">  </w:t>
      </w:r>
    </w:p>
    <w:p w14:paraId="06003614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4.39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2011/12 </w:t>
      </w:r>
      <w:r>
        <w:rPr>
          <w:rFonts w:ascii="Arial Unicode MS" w:eastAsia="Arial Unicode MS" w:hAnsi="Arial Unicode MS" w:cs="Arial Unicode MS"/>
          <w:color w:val="000000"/>
        </w:rPr>
        <w:t>წლებში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სერვისებით</w:t>
      </w:r>
      <w:r>
        <w:rPr>
          <w:rFonts w:ascii="Arial Unicode MS" w:eastAsia="Arial Unicode MS" w:hAnsi="Arial Unicode MS" w:cs="Arial Unicode MS"/>
          <w:color w:val="000000"/>
        </w:rPr>
        <w:t xml:space="preserve"> 317 616-</w:t>
      </w:r>
      <w:r>
        <w:rPr>
          <w:rFonts w:ascii="Arial Unicode MS" w:eastAsia="Arial Unicode MS" w:hAnsi="Arial Unicode MS" w:cs="Arial Unicode MS"/>
          <w:color w:val="000000"/>
        </w:rPr>
        <w:t>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ისარგებლა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2007/0</w:t>
      </w:r>
      <w:r>
        <w:rPr>
          <w:rFonts w:ascii="Arial Unicode MS" w:eastAsia="Arial Unicode MS" w:hAnsi="Arial Unicode MS" w:cs="Arial Unicode MS"/>
          <w:color w:val="000000"/>
        </w:rPr>
        <w:t xml:space="preserve">8 </w:t>
      </w:r>
      <w:r>
        <w:rPr>
          <w:rFonts w:ascii="Arial Unicode MS" w:eastAsia="Arial Unicode MS" w:hAnsi="Arial Unicode MS" w:cs="Arial Unicode MS"/>
          <w:color w:val="000000"/>
        </w:rPr>
        <w:t>წლების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მონაცემებზე</w:t>
      </w:r>
      <w:r>
        <w:rPr>
          <w:rFonts w:ascii="Arial Unicode MS" w:eastAsia="Arial Unicode MS" w:hAnsi="Arial Unicode MS" w:cs="Arial Unicode MS"/>
          <w:color w:val="000000"/>
        </w:rPr>
        <w:t xml:space="preserve"> 29%-</w:t>
      </w:r>
      <w:r>
        <w:rPr>
          <w:rFonts w:ascii="Arial Unicode MS" w:eastAsia="Arial Unicode MS" w:hAnsi="Arial Unicode MS" w:cs="Arial Unicode MS"/>
          <w:color w:val="000000"/>
        </w:rPr>
        <w:t>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2014-2019 </w:t>
      </w:r>
      <w:r>
        <w:rPr>
          <w:rFonts w:ascii="Arial Unicode MS" w:eastAsia="Arial Unicode MS" w:hAnsi="Arial Unicode MS" w:cs="Arial Unicode MS"/>
          <w:color w:val="000000"/>
        </w:rPr>
        <w:t>წლების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სპეციალიზებული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მიმღები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რაოდენობა</w:t>
      </w:r>
      <w:r>
        <w:rPr>
          <w:rFonts w:ascii="Arial Unicode MS" w:eastAsia="Arial Unicode MS" w:hAnsi="Arial Unicode MS" w:cs="Arial Unicode MS"/>
          <w:color w:val="000000"/>
        </w:rPr>
        <w:t xml:space="preserve"> 2019 </w:t>
      </w:r>
      <w:r>
        <w:rPr>
          <w:rFonts w:ascii="Arial Unicode MS" w:eastAsia="Arial Unicode MS" w:hAnsi="Arial Unicode MS" w:cs="Arial Unicode MS"/>
          <w:color w:val="000000"/>
        </w:rPr>
        <w:t>წლისთვის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ამჟამინდელი</w:t>
      </w:r>
      <w:r>
        <w:rPr>
          <w:rFonts w:ascii="Arial Unicode MS" w:eastAsia="Arial Unicode MS" w:hAnsi="Arial Unicode MS" w:cs="Arial Unicode MS"/>
          <w:color w:val="000000"/>
        </w:rPr>
        <w:t xml:space="preserve"> 45 000-</w:t>
      </w:r>
      <w:r>
        <w:rPr>
          <w:rFonts w:ascii="Arial Unicode MS" w:eastAsia="Arial Unicode MS" w:hAnsi="Arial Unicode MS" w:cs="Arial Unicode MS"/>
          <w:color w:val="000000"/>
        </w:rPr>
        <w:t>დან</w:t>
      </w:r>
      <w:r>
        <w:rPr>
          <w:rFonts w:ascii="Arial Unicode MS" w:eastAsia="Arial Unicode MS" w:hAnsi="Arial Unicode MS" w:cs="Arial Unicode MS"/>
          <w:color w:val="000000"/>
        </w:rPr>
        <w:t xml:space="preserve"> 97 000-</w:t>
      </w:r>
      <w:r>
        <w:rPr>
          <w:rFonts w:ascii="Arial Unicode MS" w:eastAsia="Arial Unicode MS" w:hAnsi="Arial Unicode MS" w:cs="Arial Unicode MS"/>
          <w:color w:val="000000"/>
        </w:rPr>
        <w:t>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გაიზრდება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მეტიც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იქ</w:t>
      </w:r>
      <w:r>
        <w:rPr>
          <w:rFonts w:ascii="Arial Unicode MS" w:eastAsia="Arial Unicode MS" w:hAnsi="Arial Unicode MS" w:cs="Arial Unicode MS"/>
          <w:color w:val="000000"/>
        </w:rPr>
        <w:t>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კონტროლი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არჩევანიც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ინდივიდუალური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დაგეგმვისას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5"/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სქემა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ინდივიდის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მიზნებსა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მისწრაფებებზე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ფოკუსირებული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გაითვალისწინებს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გარემოებებს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გავლენას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ეკონომიკურ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სფეროებში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</w:t>
      </w:r>
      <w:r>
        <w:rPr>
          <w:rFonts w:ascii="Arial Unicode MS" w:eastAsia="Arial Unicode MS" w:hAnsi="Arial Unicode MS" w:cs="Arial Unicode MS"/>
          <w:color w:val="000000"/>
        </w:rPr>
        <w:t>აწილეობაზე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იაკანას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ცენტრში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რეგულარულ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მომსახურებას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მაცხოვრებელს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მოუწოდებენ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განივითაროს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შეინარჩუნოს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ყოველდღიური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უნარები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მოემზადოს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დაბრუნებისთვის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აქტივობა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მიზნად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ისახავს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რეაბილიტაციის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მიმღები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გახდნენ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პასიურები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დამოკიდებულები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ინსტიტუციონალიზებულები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თანდათან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ეტაპობრივად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ახორციელებს</w:t>
      </w:r>
      <w:r>
        <w:rPr>
          <w:rFonts w:ascii="Arial Unicode MS" w:eastAsia="Arial Unicode MS" w:hAnsi="Arial Unicode MS" w:cs="Arial Unicode MS"/>
          <w:color w:val="000000"/>
        </w:rPr>
        <w:t xml:space="preserve"> 26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12745A7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jc w:val="both"/>
        <w:rPr>
          <w:rFonts w:ascii="Merriweather" w:eastAsia="Merriweather" w:hAnsi="Merriweather" w:cs="Merriweather"/>
          <w:i/>
          <w:color w:val="000000"/>
        </w:rPr>
      </w:pPr>
      <w:bookmarkStart w:id="10" w:name="_17dp8vu" w:colFirst="0" w:colLast="0"/>
      <w:bookmarkEnd w:id="10"/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ab/>
      </w:r>
      <w:r>
        <w:rPr>
          <w:rFonts w:ascii="Arial Unicode MS" w:eastAsia="Arial Unicode MS" w:hAnsi="Arial Unicode MS" w:cs="Arial Unicode MS"/>
          <w:i/>
          <w:color w:val="000000"/>
        </w:rPr>
        <w:t>მუხლები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4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5 — </w:t>
      </w:r>
      <w:r>
        <w:rPr>
          <w:rFonts w:ascii="Arial Unicode MS" w:eastAsia="Arial Unicode MS" w:hAnsi="Arial Unicode MS" w:cs="Arial Unicode MS"/>
          <w:i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მხარის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ზოგადი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ვალდებულებები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i/>
          <w:color w:val="000000"/>
        </w:rPr>
        <w:t>თანასწორობის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უფლება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</w:rPr>
        <w:t>დაუშვებლობა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 </w:t>
      </w:r>
    </w:p>
    <w:p w14:paraId="6AA7EDD5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4.40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-5 </w:t>
      </w:r>
      <w:r>
        <w:rPr>
          <w:rFonts w:ascii="Arial Unicode MS" w:eastAsia="Arial Unicode MS" w:hAnsi="Arial Unicode MS" w:cs="Arial Unicode MS"/>
          <w:color w:val="000000"/>
        </w:rPr>
        <w:t>მუხლებით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გაწერილი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დაუსაბუთებელია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აზრით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ძალისხმევას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რესურსების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გაზრდ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ჩათვლით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სრულად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სხვებთან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თანაბარად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უფლებითა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ფუნდამენტური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თავისუფლებებით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სარგებლობა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შეეძლოთ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აკრძალვა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ფუნდამენტური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პრინციპია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საკანონმდებლო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ჩათვლით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აკრძალონ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საკანონმდებლო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აკრძალვები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მოქმედებს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მასშტაბით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შემავ</w:t>
      </w:r>
      <w:r>
        <w:rPr>
          <w:rFonts w:ascii="Arial Unicode MS" w:eastAsia="Arial Unicode MS" w:hAnsi="Arial Unicode MS" w:cs="Arial Unicode MS"/>
          <w:color w:val="000000"/>
        </w:rPr>
        <w:t>ალ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ტერიტორიებზე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კუთხით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475C003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4.41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აქედან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-5 (2),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-14,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-18,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>-19, 22-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, 23-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>, 26-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რომელიმე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მათგანი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დასაშვებია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პოზიცია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ბრალდებები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F81E14E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 w:line="240" w:lineRule="auto"/>
        <w:ind w:left="1134" w:right="1134" w:hanging="1134"/>
        <w:rPr>
          <w:rFonts w:ascii="Merriweather" w:eastAsia="Merriweather" w:hAnsi="Merriweather" w:cs="Merriweather"/>
          <w:b/>
          <w:color w:val="000000"/>
        </w:rPr>
      </w:pPr>
      <w:bookmarkStart w:id="11" w:name="_3rdcrjn" w:colFirst="0" w:colLast="0"/>
      <w:bookmarkEnd w:id="11"/>
      <w:r>
        <w:rPr>
          <w:rFonts w:ascii="Arial Unicode MS" w:eastAsia="Arial Unicode MS" w:hAnsi="Arial Unicode MS" w:cs="Arial Unicode MS"/>
          <w:b/>
          <w:color w:val="000000"/>
        </w:rPr>
        <w:lastRenderedPageBreak/>
        <w:tab/>
      </w:r>
      <w:r>
        <w:rPr>
          <w:rFonts w:ascii="Arial Unicode MS" w:eastAsia="Arial Unicode MS" w:hAnsi="Arial Unicode MS" w:cs="Arial Unicode MS"/>
          <w:b/>
          <w:color w:val="000000"/>
        </w:rPr>
        <w:tab/>
      </w:r>
      <w:r>
        <w:rPr>
          <w:rFonts w:ascii="Arial Unicode MS" w:eastAsia="Arial Unicode MS" w:hAnsi="Arial Unicode MS" w:cs="Arial Unicode MS"/>
          <w:b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კომენტარები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მხარის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დაკვირვებებზე</w:t>
      </w:r>
    </w:p>
    <w:p w14:paraId="24AD2935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5.1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შენიშვნები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კომენტარის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გასაკეთებლად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2015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12 </w:t>
      </w:r>
      <w:r>
        <w:rPr>
          <w:rFonts w:ascii="Arial Unicode MS" w:eastAsia="Arial Unicode MS" w:hAnsi="Arial Unicode MS" w:cs="Arial Unicode MS"/>
          <w:color w:val="000000"/>
        </w:rPr>
        <w:t>იანვარს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გადაეცა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შეხსენების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2015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26 </w:t>
      </w:r>
      <w:r>
        <w:rPr>
          <w:rFonts w:ascii="Arial Unicode MS" w:eastAsia="Arial Unicode MS" w:hAnsi="Arial Unicode MS" w:cs="Arial Unicode MS"/>
          <w:color w:val="000000"/>
        </w:rPr>
        <w:t>მაისს</w:t>
      </w:r>
      <w:r>
        <w:rPr>
          <w:rFonts w:ascii="Arial Unicode MS" w:eastAsia="Arial Unicode MS" w:hAnsi="Arial Unicode MS" w:cs="Arial Unicode MS"/>
          <w:color w:val="000000"/>
        </w:rPr>
        <w:t xml:space="preserve">, 4 </w:t>
      </w:r>
      <w:r>
        <w:rPr>
          <w:rFonts w:ascii="Arial Unicode MS" w:eastAsia="Arial Unicode MS" w:hAnsi="Arial Unicode MS" w:cs="Arial Unicode MS"/>
          <w:color w:val="000000"/>
        </w:rPr>
        <w:t>აგვისტოს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14 </w:t>
      </w:r>
      <w:r>
        <w:rPr>
          <w:rFonts w:ascii="Arial Unicode MS" w:eastAsia="Arial Unicode MS" w:hAnsi="Arial Unicode MS" w:cs="Arial Unicode MS"/>
          <w:color w:val="000000"/>
        </w:rPr>
        <w:t>ნოემბერს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4 </w:t>
      </w:r>
      <w:r>
        <w:rPr>
          <w:rFonts w:ascii="Arial Unicode MS" w:eastAsia="Arial Unicode MS" w:hAnsi="Arial Unicode MS" w:cs="Arial Unicode MS"/>
          <w:color w:val="000000"/>
        </w:rPr>
        <w:t>მარტს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გაეგზავნა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საუბარი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მიიღებდა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მიიღებდა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6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კომენტარი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გაუკეთებია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2128EC1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360" w:after="240" w:line="270" w:lineRule="auto"/>
        <w:ind w:left="1134" w:right="1134" w:hanging="1134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bookmarkStart w:id="12" w:name="_26in1rg" w:colFirst="0" w:colLast="0"/>
      <w:bookmarkEnd w:id="12"/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  <w:t>B.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კომიტეტის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მოსაზრებები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საქმი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ს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დასაშვებობის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შესახებ</w:t>
      </w:r>
    </w:p>
    <w:p w14:paraId="3CFB33F1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6.1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კომუნიკაციაში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მოცემული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ნებისმიერი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განხილვამდე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</w:t>
      </w:r>
      <w:r>
        <w:rPr>
          <w:rFonts w:ascii="Arial Unicode MS" w:eastAsia="Arial Unicode MS" w:hAnsi="Arial Unicode MS" w:cs="Arial Unicode MS"/>
          <w:color w:val="000000"/>
        </w:rPr>
        <w:t>მუხლისა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რეგლამენტის</w:t>
      </w:r>
      <w:r>
        <w:rPr>
          <w:rFonts w:ascii="Arial Unicode MS" w:eastAsia="Arial Unicode MS" w:hAnsi="Arial Unicode MS" w:cs="Arial Unicode MS"/>
          <w:color w:val="000000"/>
        </w:rPr>
        <w:t xml:space="preserve"> 65-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წესის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გადაწყვიტოს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დასაშვებია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0C047660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6.2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(c ) </w:t>
      </w:r>
      <w:r>
        <w:rPr>
          <w:rFonts w:ascii="Arial Unicode MS" w:eastAsia="Arial Unicode MS" w:hAnsi="Arial Unicode MS" w:cs="Arial Unicode MS"/>
          <w:color w:val="000000"/>
        </w:rPr>
        <w:t>მუხლი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მსგავსი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განუხილავს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დაამჟამადაც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განიხილავს</w:t>
      </w:r>
      <w:r>
        <w:rPr>
          <w:rFonts w:ascii="Arial Unicode MS" w:eastAsia="Arial Unicode MS" w:hAnsi="Arial Unicode MS" w:cs="Arial Unicode MS"/>
          <w:color w:val="00000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</w:rPr>
        <w:t>საერთაშორისო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გამოძიების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მოგვარების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პროცედურის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ფარგლებში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23E01D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6.3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განცხადებაზე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დაფიქსირებული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</w:t>
      </w:r>
      <w:r>
        <w:rPr>
          <w:rFonts w:ascii="Arial Unicode MS" w:eastAsia="Arial Unicode MS" w:hAnsi="Arial Unicode MS" w:cs="Arial Unicode MS"/>
          <w:color w:val="000000"/>
        </w:rPr>
        <w:t>გიერთი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ქმედება</w:t>
      </w:r>
      <w:r>
        <w:rPr>
          <w:rFonts w:ascii="Arial Unicode MS" w:eastAsia="Arial Unicode MS" w:hAnsi="Arial Unicode MS" w:cs="Arial Unicode MS"/>
          <w:color w:val="000000"/>
        </w:rPr>
        <w:t xml:space="preserve"> 2009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20 </w:t>
      </w:r>
      <w:r>
        <w:rPr>
          <w:rFonts w:ascii="Arial Unicode MS" w:eastAsia="Arial Unicode MS" w:hAnsi="Arial Unicode MS" w:cs="Arial Unicode MS"/>
          <w:color w:val="000000"/>
        </w:rPr>
        <w:t>სექტემბრამდე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მოხდა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შესვლის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გაგრძელდა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ყველა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შიდასამართლებრივი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პირველი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</w:t>
      </w:r>
      <w:r>
        <w:rPr>
          <w:rFonts w:ascii="Arial Unicode MS" w:eastAsia="Arial Unicode MS" w:hAnsi="Arial Unicode MS" w:cs="Arial Unicode MS"/>
          <w:color w:val="000000"/>
        </w:rPr>
        <w:t>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წარადგინა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1991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იყოს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მეორე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შემოტანის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პარალელ</w:t>
      </w:r>
      <w:r>
        <w:rPr>
          <w:rFonts w:ascii="Arial Unicode MS" w:eastAsia="Arial Unicode MS" w:hAnsi="Arial Unicode MS" w:cs="Arial Unicode MS"/>
          <w:color w:val="000000"/>
        </w:rPr>
        <w:t>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განხილვა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ხდებოდა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დარღვევის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პროცედურები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აღსრულებად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ისინი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განიხილება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2014 </w:t>
      </w:r>
      <w:r>
        <w:rPr>
          <w:rFonts w:ascii="Arial Unicode MS" w:eastAsia="Arial Unicode MS" w:hAnsi="Arial Unicode MS" w:cs="Arial Unicode MS"/>
          <w:color w:val="000000"/>
        </w:rPr>
        <w:t>წლის</w:t>
      </w:r>
      <w:r>
        <w:rPr>
          <w:rFonts w:ascii="Arial Unicode MS" w:eastAsia="Arial Unicode MS" w:hAnsi="Arial Unicode MS" w:cs="Arial Unicode MS"/>
          <w:color w:val="000000"/>
        </w:rPr>
        <w:t xml:space="preserve"> 19 </w:t>
      </w:r>
      <w:r>
        <w:rPr>
          <w:rFonts w:ascii="Arial Unicode MS" w:eastAsia="Arial Unicode MS" w:hAnsi="Arial Unicode MS" w:cs="Arial Unicode MS"/>
          <w:color w:val="000000"/>
        </w:rPr>
        <w:t>მაისს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</w:t>
      </w:r>
      <w:r>
        <w:rPr>
          <w:rFonts w:ascii="Arial Unicode MS" w:eastAsia="Arial Unicode MS" w:hAnsi="Arial Unicode MS" w:cs="Arial Unicode MS"/>
          <w:color w:val="000000"/>
        </w:rPr>
        <w:t>სიამ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შეატყობინა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მოგვარების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გონივრული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პერსპექტივის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შეეწყვიტა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3FD95B1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6.4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შეეხება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წინაშე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პროცედურებს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შეწყვეტა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აძლევს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დაიწყოს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ფედერალურ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უკანონო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აღსასრულებელი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ეძებოს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</w:t>
      </w:r>
      <w:r>
        <w:rPr>
          <w:rFonts w:ascii="Arial Unicode MS" w:eastAsia="Arial Unicode MS" w:hAnsi="Arial Unicode MS" w:cs="Arial Unicode MS"/>
          <w:color w:val="000000"/>
        </w:rPr>
        <w:t>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დაიწყო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ამოიწურა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10884DDC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6.5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ძალა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</w:t>
      </w:r>
      <w:r>
        <w:rPr>
          <w:rFonts w:ascii="Arial Unicode MS" w:eastAsia="Arial Unicode MS" w:hAnsi="Arial Unicode MS" w:cs="Arial Unicode MS"/>
          <w:color w:val="000000"/>
        </w:rPr>
        <w:t>ციულ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ექვემდებარება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ინიცირება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ავტორიზება</w:t>
      </w:r>
      <w:r>
        <w:rPr>
          <w:rFonts w:ascii="Arial Unicode MS" w:eastAsia="Arial Unicode MS" w:hAnsi="Arial Unicode MS" w:cs="Arial Unicode MS"/>
          <w:color w:val="000000"/>
        </w:rPr>
        <w:t xml:space="preserve">).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არგუმენტზეც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უფლებამოსილების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სერტიფიკატს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ექვემდებარება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</w:t>
      </w:r>
      <w:r>
        <w:rPr>
          <w:rFonts w:ascii="Arial Unicode MS" w:eastAsia="Arial Unicode MS" w:hAnsi="Arial Unicode MS" w:cs="Arial Unicode MS"/>
          <w:color w:val="000000"/>
        </w:rPr>
        <w:t>ახმადაც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რწმუნებული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ადმინისტრატორად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ინიშნება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ფინანსური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განმარტებისა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გაურკვეველია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ბრძანება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უშლის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დაწყ</w:t>
      </w:r>
      <w:r>
        <w:rPr>
          <w:rFonts w:ascii="Arial Unicode MS" w:eastAsia="Arial Unicode MS" w:hAnsi="Arial Unicode MS" w:cs="Arial Unicode MS"/>
          <w:color w:val="000000"/>
        </w:rPr>
        <w:t>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დამატებითი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შეეძლო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თუ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სამართალწარმოების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დაწყება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</w:t>
      </w:r>
      <w:r>
        <w:rPr>
          <w:rFonts w:ascii="Arial Unicode MS" w:eastAsia="Arial Unicode MS" w:hAnsi="Arial Unicode MS" w:cs="Arial Unicode MS"/>
          <w:color w:val="000000"/>
        </w:rPr>
        <w:t>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წარმომადგენელს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შეეძლო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გააკეთა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კიდეც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საქმე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კომისიაში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81FB5D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6.6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ამოწურვა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</w:t>
      </w:r>
      <w:r>
        <w:rPr>
          <w:rFonts w:ascii="Arial Unicode MS" w:eastAsia="Arial Unicode MS" w:hAnsi="Arial Unicode MS" w:cs="Arial Unicode MS"/>
          <w:color w:val="000000"/>
        </w:rPr>
        <w:t>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დაცვის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გამოყენება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უსაფუძვლოდ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გახანგრძლივებულია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ნაკლებად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სავარაუდოა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პრობლემას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მოაგვარებს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ეფექტურობასთან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ეჭვის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ქონა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საკმარისი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ათავისუფლებს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>ოწურვის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ვალდებულებისგან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7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არგუმენტზე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სასამართლოები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მიაწვდიდნენ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ანტიდისკრიმინაციული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ეფექტურ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გონივრულად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ხელმწისაწვდომ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</w:t>
      </w:r>
      <w:r>
        <w:rPr>
          <w:rFonts w:ascii="Arial Unicode MS" w:eastAsia="Arial Unicode MS" w:hAnsi="Arial Unicode MS" w:cs="Arial Unicode MS"/>
          <w:color w:val="000000"/>
        </w:rPr>
        <w:t>ბრივ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მიზეზებით</w:t>
      </w:r>
      <w:r>
        <w:rPr>
          <w:rFonts w:ascii="Arial Unicode MS" w:eastAsia="Arial Unicode MS" w:hAnsi="Arial Unicode MS" w:cs="Arial Unicode MS"/>
          <w:color w:val="000000"/>
        </w:rPr>
        <w:t>: (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რომელზეც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საუბრობს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მოხდა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პროგრამასთან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სპეციალური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ზომების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კატეგორიას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მიეკუთვნება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მოიცავს</w:t>
      </w:r>
      <w:r>
        <w:rPr>
          <w:rFonts w:ascii="Arial Unicode MS" w:eastAsia="Arial Unicode MS" w:hAnsi="Arial Unicode MS" w:cs="Arial Unicode MS"/>
          <w:color w:val="00000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წარმოშობდე</w:t>
      </w:r>
      <w:r>
        <w:rPr>
          <w:rFonts w:ascii="Arial Unicode MS" w:eastAsia="Arial Unicode MS" w:hAnsi="Arial Unicode MS" w:cs="Arial Unicode MS"/>
          <w:color w:val="000000"/>
        </w:rPr>
        <w:t>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პრეტენზიებს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პირთა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45-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>შესაძლებელი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ყოფილიყო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შესახებ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გაკეთება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>, „</w:t>
      </w:r>
      <w:r>
        <w:rPr>
          <w:rFonts w:ascii="Arial Unicode MS" w:eastAsia="Arial Unicode MS" w:hAnsi="Arial Unicode MS" w:cs="Arial Unicode MS"/>
          <w:color w:val="000000"/>
        </w:rPr>
        <w:t>წარუმატებელი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შეფასდა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საჭიროების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მქონე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გარემოებები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მატერიალურად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განსხვავებულია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საცხოვრისის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აპლიკანტების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გარემოებებისგან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კონტექსტში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ქუინ</w:t>
      </w:r>
      <w:r>
        <w:rPr>
          <w:rFonts w:ascii="Arial Unicode MS" w:eastAsia="Arial Unicode MS" w:hAnsi="Arial Unicode MS" w:cs="Arial Unicode MS"/>
          <w:color w:val="000000"/>
        </w:rPr>
        <w:t>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ქმედება</w:t>
      </w:r>
      <w:r>
        <w:rPr>
          <w:rFonts w:ascii="Arial Unicode MS" w:eastAsia="Arial Unicode MS" w:hAnsi="Arial Unicode MS" w:cs="Arial Unicode MS"/>
          <w:color w:val="000000"/>
        </w:rPr>
        <w:t>, „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“, </w:t>
      </w:r>
      <w:r>
        <w:rPr>
          <w:rFonts w:ascii="Arial Unicode MS" w:eastAsia="Arial Unicode MS" w:hAnsi="Arial Unicode MS" w:cs="Arial Unicode MS"/>
          <w:color w:val="000000"/>
        </w:rPr>
        <w:t>გონივრულად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ჩაითვლებოდა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რადგან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მანამდე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მიეწოდოს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საცხოვრებელი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სავარაუდოდ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კვალიფიცირებული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</w:t>
      </w:r>
      <w:r>
        <w:rPr>
          <w:rFonts w:ascii="Arial Unicode MS" w:eastAsia="Arial Unicode MS" w:hAnsi="Arial Unicode MS" w:cs="Arial Unicode MS"/>
          <w:color w:val="000000"/>
        </w:rPr>
        <w:t>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ზედმეტი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ტვირთი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როგორც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დამხმარე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დადგინდეს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სანამ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ასეთი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პასუხისმგებლობა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დაეკისრება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შტატს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მიზეზით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აუცილებლად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წარუმატებელი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იქნებოდა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ამისა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იმასაც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ასაბუთებს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საკუთარ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lastRenderedPageBreak/>
        <w:t>არგუმენტებს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მაშინ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როდესაც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საჩივრების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მრავალ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წარმატებულ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ქეისზე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კანონის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გაკეთდა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თანამეგობრობისა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შემავალი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rPr>
          <w:rFonts w:ascii="Merriweather" w:eastAsia="Merriweather" w:hAnsi="Merriweather" w:cs="Merriweather"/>
          <w:color w:val="000000"/>
          <w:sz w:val="18"/>
          <w:szCs w:val="18"/>
          <w:vertAlign w:val="superscript"/>
        </w:rPr>
        <w:footnoteReference w:id="28"/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შეუძლია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დაასკვნას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ამოწურა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შეტყობინებას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ცნობს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(d)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53907098" w14:textId="77777777" w:rsidR="00E43975" w:rsidRDefault="006D1F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360" w:after="240" w:line="270" w:lineRule="auto"/>
        <w:ind w:left="1134" w:right="1134" w:hanging="1134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bookmarkStart w:id="13" w:name="_lnxbz9" w:colFirst="0" w:colLast="0"/>
      <w:bookmarkEnd w:id="13"/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  <w:t>C.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დასკვნა</w:t>
      </w:r>
    </w:p>
    <w:p w14:paraId="673C4F7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7.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გადაწყვიტა</w:t>
      </w:r>
      <w:r>
        <w:rPr>
          <w:rFonts w:ascii="Arial Unicode MS" w:eastAsia="Arial Unicode MS" w:hAnsi="Arial Unicode MS" w:cs="Arial Unicode MS"/>
          <w:color w:val="000000"/>
        </w:rPr>
        <w:t>,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>:</w:t>
      </w:r>
    </w:p>
    <w:p w14:paraId="0FC220D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ab/>
        <w:t>(</w:t>
      </w: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დაუშვებელია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ოქმის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-2 (d)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>; (</w:t>
      </w: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უნდა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გადაეცეს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მხარესა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</w:p>
    <w:p w14:paraId="257294F3" w14:textId="77777777" w:rsidR="00E43975" w:rsidRDefault="00E43975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</w:p>
    <w:p w14:paraId="37C8F4A3" w14:textId="77777777" w:rsidR="00E43975" w:rsidRDefault="00E43975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</w:p>
    <w:p w14:paraId="335DDA32" w14:textId="77777777" w:rsidR="00E43975" w:rsidRDefault="00E43975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34"/>
        <w:jc w:val="both"/>
        <w:rPr>
          <w:rFonts w:ascii="Merriweather" w:eastAsia="Merriweather" w:hAnsi="Merriweather" w:cs="Merriweather"/>
          <w:color w:val="000000"/>
        </w:rPr>
      </w:pPr>
    </w:p>
    <w:p w14:paraId="328886DB" w14:textId="77777777" w:rsidR="00E43975" w:rsidRDefault="00E43975">
      <w:pPr>
        <w:spacing w:before="240"/>
        <w:jc w:val="center"/>
        <w:rPr>
          <w:rFonts w:ascii="Merriweather" w:eastAsia="Merriweather" w:hAnsi="Merriweather" w:cs="Merriweather"/>
          <w:u w:val="single"/>
        </w:rPr>
      </w:pPr>
    </w:p>
    <w:p w14:paraId="3AAA5F78" w14:textId="77777777" w:rsidR="00E43975" w:rsidRDefault="006D1F44">
      <w:pPr>
        <w:spacing w:before="240"/>
        <w:jc w:val="center"/>
        <w:rPr>
          <w:rFonts w:ascii="Merriweather" w:eastAsia="Merriweather" w:hAnsi="Merriweather" w:cs="Merriweather"/>
          <w:u w:val="single"/>
        </w:rPr>
      </w:pPr>
      <w:r>
        <w:rPr>
          <w:rFonts w:ascii="Merriweather" w:eastAsia="Merriweather" w:hAnsi="Merriweather" w:cs="Merriweather"/>
          <w:u w:val="single"/>
        </w:rPr>
        <w:tab/>
      </w:r>
      <w:r>
        <w:rPr>
          <w:rFonts w:ascii="Merriweather" w:eastAsia="Merriweather" w:hAnsi="Merriweather" w:cs="Merriweather"/>
          <w:u w:val="single"/>
        </w:rPr>
        <w:tab/>
      </w:r>
      <w:r>
        <w:rPr>
          <w:rFonts w:ascii="Merriweather" w:eastAsia="Merriweather" w:hAnsi="Merriweather" w:cs="Merriweather"/>
          <w:u w:val="single"/>
        </w:rPr>
        <w:tab/>
      </w:r>
    </w:p>
    <w:p w14:paraId="351D4541" w14:textId="77777777" w:rsidR="00E43975" w:rsidRDefault="00E43975">
      <w:pPr>
        <w:spacing w:before="240"/>
        <w:jc w:val="center"/>
        <w:rPr>
          <w:rFonts w:ascii="Merriweather" w:eastAsia="Merriweather" w:hAnsi="Merriweather" w:cs="Merriweather"/>
          <w:u w:val="single"/>
        </w:rPr>
      </w:pPr>
    </w:p>
    <w:p w14:paraId="3EF68D1B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bpgArial" w:eastAsia="bpgArial" w:hAnsi="bpgArial" w:cs="bpgArial"/>
          <w:color w:val="A3A3A3"/>
          <w:sz w:val="24"/>
          <w:szCs w:val="24"/>
        </w:rPr>
      </w:pPr>
      <w:r>
        <w:rPr>
          <w:rFonts w:ascii="bpgArial" w:eastAsia="bpgArial" w:hAnsi="bpgArial" w:cs="bpgArial"/>
          <w:noProof/>
          <w:color w:val="A3A3A3"/>
          <w:sz w:val="24"/>
          <w:szCs w:val="24"/>
        </w:rPr>
        <w:drawing>
          <wp:inline distT="0" distB="0" distL="0" distR="0" wp14:anchorId="0475B38C" wp14:editId="3275C346">
            <wp:extent cx="3014756" cy="827662"/>
            <wp:effectExtent l="0" t="0" r="0" b="0"/>
            <wp:docPr id="3" name="image2.jp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raphical user interface, applicati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756" cy="827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00B05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Merriweather" w:eastAsia="Merriweather" w:hAnsi="Merriweather" w:cs="Merriweather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თარგმანი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შექმნილია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ევროკავშირის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მხარდაჭერით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შინაარსზე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სრულად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პასუხისმგებელია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"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კოალიცია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დამოუკიდებელი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ცხოვრებისათვის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"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და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შესაძლოა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იგი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არ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გამოხატავდეს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ევროკავშირის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შეხედულებებს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14:paraId="180379DD" w14:textId="77777777" w:rsidR="00E43975" w:rsidRDefault="00E43975">
      <w:pPr>
        <w:spacing w:before="240"/>
        <w:jc w:val="center"/>
        <w:rPr>
          <w:rFonts w:ascii="Merriweather" w:eastAsia="Merriweather" w:hAnsi="Merriweather" w:cs="Merriweather"/>
          <w:u w:val="single"/>
        </w:rPr>
      </w:pPr>
    </w:p>
    <w:sectPr w:rsidR="00E439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417" w:right="1134" w:bottom="1134" w:left="1134" w:header="85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B43B" w14:textId="77777777" w:rsidR="006D1F44" w:rsidRDefault="006D1F44">
      <w:pPr>
        <w:spacing w:line="240" w:lineRule="auto"/>
      </w:pPr>
      <w:r>
        <w:separator/>
      </w:r>
    </w:p>
  </w:endnote>
  <w:endnote w:type="continuationSeparator" w:id="0">
    <w:p w14:paraId="1DCF326F" w14:textId="77777777" w:rsidR="006D1F44" w:rsidRDefault="006D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pgArial">
    <w:altName w:val="Cambria"/>
    <w:panose1 w:val="020B0604020202020204"/>
    <w:charset w:val="00"/>
    <w:family w:val="auto"/>
    <w:pitch w:val="default"/>
  </w:font>
  <w:font w:name="C39T30Lfz">
    <w:altName w:val="Symbo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F96" w14:textId="3B852661" w:rsidR="00E43975" w:rsidRDefault="006D1F44">
    <w:pPr>
      <w:pBdr>
        <w:top w:val="nil"/>
        <w:left w:val="nil"/>
        <w:bottom w:val="nil"/>
        <w:right w:val="nil"/>
        <w:between w:val="nil"/>
      </w:pBdr>
      <w:tabs>
        <w:tab w:val="right" w:pos="9598"/>
      </w:tabs>
      <w:spacing w:line="240" w:lineRule="auto"/>
      <w:rPr>
        <w:rFonts w:ascii="Merriweather" w:eastAsia="Merriweather" w:hAnsi="Merriweather" w:cs="Merriweather"/>
        <w:color w:val="000000"/>
        <w:sz w:val="16"/>
        <w:szCs w:val="16"/>
      </w:rPr>
    </w:pP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begin"/>
    </w:r>
    <w:r>
      <w:rPr>
        <w:rFonts w:ascii="Merriweather" w:eastAsia="Merriweather" w:hAnsi="Merriweather" w:cs="Merriweather"/>
        <w:b/>
        <w:color w:val="000000"/>
        <w:sz w:val="18"/>
        <w:szCs w:val="18"/>
      </w:rPr>
      <w:instrText>PAGE</w:instrTex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separate"/>
    </w:r>
    <w:r w:rsidR="00332ABC">
      <w:rPr>
        <w:rFonts w:ascii="Merriweather" w:eastAsia="Merriweather" w:hAnsi="Merriweather" w:cs="Merriweather"/>
        <w:b/>
        <w:noProof/>
        <w:color w:val="000000"/>
        <w:sz w:val="18"/>
        <w:szCs w:val="18"/>
      </w:rPr>
      <w:t>2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end"/>
    </w:r>
    <w:r>
      <w:rPr>
        <w:rFonts w:ascii="Merriweather" w:eastAsia="Merriweather" w:hAnsi="Merriweather" w:cs="Merriweather"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BAC" w14:textId="7E1E2B9B" w:rsidR="00E43975" w:rsidRDefault="006D1F44">
    <w:pPr>
      <w:pBdr>
        <w:top w:val="nil"/>
        <w:left w:val="nil"/>
        <w:bottom w:val="nil"/>
        <w:right w:val="nil"/>
        <w:between w:val="nil"/>
      </w:pBdr>
      <w:tabs>
        <w:tab w:val="right" w:pos="9598"/>
      </w:tabs>
      <w:spacing w:line="240" w:lineRule="auto"/>
      <w:rPr>
        <w:rFonts w:ascii="Merriweather" w:eastAsia="Merriweather" w:hAnsi="Merriweather" w:cs="Merriweather"/>
        <w:b/>
        <w:color w:val="000000"/>
        <w:sz w:val="18"/>
        <w:szCs w:val="18"/>
      </w:rPr>
    </w:pPr>
    <w:r>
      <w:rPr>
        <w:color w:val="000000"/>
        <w:sz w:val="16"/>
        <w:szCs w:val="16"/>
      </w:rPr>
      <w:tab/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begin"/>
    </w:r>
    <w:r>
      <w:rPr>
        <w:rFonts w:ascii="Merriweather" w:eastAsia="Merriweather" w:hAnsi="Merriweather" w:cs="Merriweather"/>
        <w:b/>
        <w:color w:val="000000"/>
        <w:sz w:val="18"/>
        <w:szCs w:val="18"/>
      </w:rPr>
      <w:instrText>PAGE</w:instrTex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separate"/>
    </w:r>
    <w:r w:rsidR="00332ABC">
      <w:rPr>
        <w:rFonts w:ascii="Merriweather" w:eastAsia="Merriweather" w:hAnsi="Merriweather" w:cs="Merriweather"/>
        <w:b/>
        <w:noProof/>
        <w:color w:val="000000"/>
        <w:sz w:val="18"/>
        <w:szCs w:val="18"/>
      </w:rPr>
      <w:t>3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37A7" w14:textId="77777777" w:rsidR="00E43975" w:rsidRDefault="006D1F44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191D8D" wp14:editId="058F9E37">
          <wp:simplePos x="0" y="0"/>
          <wp:positionH relativeFrom="column">
            <wp:posOffset>4175759</wp:posOffset>
          </wp:positionH>
          <wp:positionV relativeFrom="paragraph">
            <wp:posOffset>262890</wp:posOffset>
          </wp:positionV>
          <wp:extent cx="932180" cy="229870"/>
          <wp:effectExtent l="0" t="0" r="0" b="0"/>
          <wp:wrapNone/>
          <wp:docPr id="1" name="image3.png" descr="recycle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cycle_Englis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180" cy="229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B55E59" wp14:editId="55F16947">
          <wp:simplePos x="0" y="0"/>
          <wp:positionH relativeFrom="column">
            <wp:posOffset>5241290</wp:posOffset>
          </wp:positionH>
          <wp:positionV relativeFrom="paragraph">
            <wp:posOffset>0</wp:posOffset>
          </wp:positionV>
          <wp:extent cx="638175" cy="638175"/>
          <wp:effectExtent l="0" t="0" r="0" b="0"/>
          <wp:wrapNone/>
          <wp:docPr id="4" name="image4.gif" descr="https://undocs.org/m2/QRCode.ashx?DS=CRPD/C/17/D/14/2013&amp;Size=2 &amp;Lang=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https://undocs.org/m2/QRCode.ashx?DS=CRPD/C/17/D/14/2013&amp;Size=2 &amp;Lang=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CCE686" w14:textId="77777777" w:rsidR="00E43975" w:rsidRDefault="006D1F44">
    <w:pPr>
      <w:pBdr>
        <w:top w:val="nil"/>
        <w:left w:val="nil"/>
        <w:bottom w:val="nil"/>
        <w:right w:val="nil"/>
        <w:between w:val="nil"/>
      </w:pBdr>
      <w:spacing w:line="240" w:lineRule="auto"/>
      <w:ind w:right="1134"/>
      <w:rPr>
        <w:color w:val="000000"/>
      </w:rPr>
    </w:pPr>
    <w:r>
      <w:rPr>
        <w:color w:val="000000"/>
      </w:rPr>
      <w:t>GE.17-08107(E)</w:t>
    </w:r>
  </w:p>
  <w:p w14:paraId="64B46909" w14:textId="77777777" w:rsidR="00E43975" w:rsidRDefault="006D1F44">
    <w:pPr>
      <w:pBdr>
        <w:top w:val="nil"/>
        <w:left w:val="nil"/>
        <w:bottom w:val="nil"/>
        <w:right w:val="nil"/>
        <w:between w:val="nil"/>
      </w:pBdr>
      <w:spacing w:line="240" w:lineRule="auto"/>
      <w:ind w:right="1134"/>
      <w:rPr>
        <w:rFonts w:ascii="C39T30Lfz" w:eastAsia="C39T30Lfz" w:hAnsi="C39T30Lfz" w:cs="C39T30Lfz"/>
        <w:color w:val="000000"/>
        <w:sz w:val="56"/>
        <w:szCs w:val="56"/>
      </w:rPr>
    </w:pPr>
    <w:r>
      <w:rPr>
        <w:rFonts w:ascii="C39T30Lfz" w:eastAsia="C39T30Lfz" w:hAnsi="C39T30Lfz" w:cs="C39T30Lfz"/>
        <w:color w:val="000000"/>
        <w:sz w:val="56"/>
        <w:szCs w:val="56"/>
      </w:rPr>
      <w:t></w:t>
    </w:r>
    <w:r>
      <w:rPr>
        <w:rFonts w:ascii="C39T30Lfz" w:eastAsia="C39T30Lfz" w:hAnsi="C39T30Lfz" w:cs="C39T30Lfz"/>
        <w:color w:val="000000"/>
        <w:sz w:val="56"/>
        <w:szCs w:val="56"/>
      </w:rPr>
      <w:t></w:t>
    </w:r>
    <w:r>
      <w:rPr>
        <w:rFonts w:ascii="C39T30Lfz" w:eastAsia="C39T30Lfz" w:hAnsi="C39T30Lfz" w:cs="C39T30Lfz"/>
        <w:color w:val="000000"/>
        <w:sz w:val="56"/>
        <w:szCs w:val="56"/>
      </w:rPr>
      <w:t></w:t>
    </w:r>
    <w:r>
      <w:rPr>
        <w:rFonts w:ascii="C39T30Lfz" w:eastAsia="C39T30Lfz" w:hAnsi="C39T30Lfz" w:cs="C39T30Lfz"/>
        <w:color w:val="000000"/>
        <w:sz w:val="56"/>
        <w:szCs w:val="56"/>
      </w:rPr>
      <w:t></w:t>
    </w:r>
    <w:r>
      <w:rPr>
        <w:rFonts w:ascii="C39T30Lfz" w:eastAsia="C39T30Lfz" w:hAnsi="C39T30Lfz" w:cs="C39T30Lfz"/>
        <w:color w:val="000000"/>
        <w:sz w:val="56"/>
        <w:szCs w:val="56"/>
      </w:rPr>
      <w:t></w:t>
    </w:r>
    <w:r>
      <w:rPr>
        <w:rFonts w:ascii="C39T30Lfz" w:eastAsia="C39T30Lfz" w:hAnsi="C39T30Lfz" w:cs="C39T30Lfz"/>
        <w:color w:val="000000"/>
        <w:sz w:val="56"/>
        <w:szCs w:val="56"/>
      </w:rPr>
      <w:t></w:t>
    </w:r>
    <w:r>
      <w:rPr>
        <w:rFonts w:ascii="C39T30Lfz" w:eastAsia="C39T30Lfz" w:hAnsi="C39T30Lfz" w:cs="C39T30Lfz"/>
        <w:color w:val="000000"/>
        <w:sz w:val="56"/>
        <w:szCs w:val="56"/>
      </w:rPr>
      <w:t></w:t>
    </w:r>
    <w:r>
      <w:rPr>
        <w:rFonts w:ascii="C39T30Lfz" w:eastAsia="C39T30Lfz" w:hAnsi="C39T30Lfz" w:cs="C39T30Lfz"/>
        <w:color w:val="000000"/>
        <w:sz w:val="56"/>
        <w:szCs w:val="56"/>
      </w:rPr>
      <w:t></w:t>
    </w:r>
    <w:r>
      <w:rPr>
        <w:rFonts w:ascii="C39T30Lfz" w:eastAsia="C39T30Lfz" w:hAnsi="C39T30Lfz" w:cs="C39T30Lfz"/>
        <w:color w:val="000000"/>
        <w:sz w:val="56"/>
        <w:szCs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8ED5" w14:textId="77777777" w:rsidR="006D1F44" w:rsidRDefault="006D1F44">
      <w:pPr>
        <w:spacing w:line="240" w:lineRule="auto"/>
      </w:pPr>
      <w:r>
        <w:separator/>
      </w:r>
    </w:p>
  </w:footnote>
  <w:footnote w:type="continuationSeparator" w:id="0">
    <w:p w14:paraId="022B8D80" w14:textId="77777777" w:rsidR="006D1F44" w:rsidRDefault="006D1F44">
      <w:pPr>
        <w:spacing w:line="240" w:lineRule="auto"/>
      </w:pPr>
      <w:r>
        <w:continuationSeparator/>
      </w:r>
    </w:p>
  </w:footnote>
  <w:footnote w:id="1">
    <w:p w14:paraId="2960A6D4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tabs>
          <w:tab w:val="right" w:pos="1021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ab/>
        <w:t>*</w:t>
      </w:r>
      <w:r>
        <w:rPr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მიიღო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მეჩვიდმეტე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სესიაზე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(20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მარტი</w:t>
      </w:r>
      <w:r>
        <w:rPr>
          <w:color w:val="000000"/>
          <w:sz w:val="18"/>
          <w:szCs w:val="18"/>
        </w:rPr>
        <w:t xml:space="preserve">-12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აპრილი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2017).</w:t>
      </w:r>
    </w:p>
  </w:footnote>
  <w:footnote w:id="2">
    <w:p w14:paraId="7BECEB47" w14:textId="77777777" w:rsidR="00E43975" w:rsidRDefault="006D1F44">
      <w:pPr>
        <w:pBdr>
          <w:top w:val="nil"/>
          <w:left w:val="nil"/>
          <w:bottom w:val="nil"/>
          <w:right w:val="nil"/>
          <w:between w:val="nil"/>
        </w:pBdr>
        <w:tabs>
          <w:tab w:val="right" w:pos="1021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ab/>
        <w:t>**</w:t>
      </w:r>
      <w:r>
        <w:rPr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კომუნიკაციის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განხილვაში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მონაწილეობდნენ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წევრები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კერძოდ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აჰმად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საიფი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დანლამი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უმარუ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ბაშარუ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მონთიან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ბუნტანი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იმედ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ედინ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ჩაკერი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თერეზია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დეგენერი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ჯუნ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იშიკავა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სამუელ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ნიუგუნა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კაბუე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კიმ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ჰიუნგ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შიკი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სტიგ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ლანგვადი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ლაზლო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გაბორ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ლოვასი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რობერტ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ჯორჯ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არტინი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მარტინ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ბაბუ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მვისიგვა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კარლოს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ალბერტო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პარა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დუსანი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კუმარაველ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პაინიანდი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ვალერი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ნიკიტიჩ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რუხლედევი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იონას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რუსკუსი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დამიან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ტატიჩი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ლიანგი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</w:footnote>
  <w:footnote w:id="3">
    <w:p w14:paraId="4B0B01F2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 (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2006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კანონი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</w:footnote>
  <w:footnote w:id="4">
    <w:p w14:paraId="00568433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მეურვეობისა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აქტი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5.  </w:t>
      </w:r>
    </w:p>
  </w:footnote>
  <w:footnote w:id="5">
    <w:p w14:paraId="121A3F7E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იქვე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6. </w:t>
      </w:r>
    </w:p>
  </w:footnote>
  <w:footnote w:id="6">
    <w:p w14:paraId="140289A3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იქვე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34. </w:t>
      </w:r>
    </w:p>
  </w:footnote>
  <w:footnote w:id="7">
    <w:p w14:paraId="4066F149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იქვე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განრიგი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1. </w:t>
      </w:r>
    </w:p>
  </w:footnote>
  <w:footnote w:id="8">
    <w:p w14:paraId="48435CF6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იხსენებს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ზოგად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1 (2014)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კანონის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წინაშე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თანაბარი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აღიარების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განსაკუთრებით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-17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26-28-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პუნქტებს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იგი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მიუხედავად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იმისა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შეხედულებები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განიხილება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კეთილსინდისიერად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ისინი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ალდებულებს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ინარჩუნებს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-12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საკუთარ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ინტერპრეტაციულ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დეკლარაციას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რომელშიც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ნათქვამია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: „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ავსტრალია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აღიარებს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მქონე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პირები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ქმედუნარიანობით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სარგებლობენ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სხვებთან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თანაბარ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ყველა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ასპექტში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ავსტრალია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აზრით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კონვენცია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უშვებს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სრულად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მხარდაჭერილო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ჩანაცვლებული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მიღების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შესაძლებლობას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გადაწყვეტილებების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მიღებას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პირის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მხოლოდ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მაშინ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როდესაც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ასეთი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ღონისძიებები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აუცილებელია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როგორ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უკიდურესი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საშუალება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ექვემდებარება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გარანტიებს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.“</w:t>
      </w:r>
    </w:p>
  </w:footnote>
  <w:footnote w:id="9">
    <w:p w14:paraId="5B521472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2012/13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კომისიის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ყოველწლიური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ანგარიშის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წელს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საჩივრების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65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პროცენტი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წარმატებით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</w:footnote>
  <w:footnote w:id="10">
    <w:p w14:paraId="76E73366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ასახელებს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მაგალითებს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ბარგუთი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შპს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Transfiel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d Pty-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(2002) 122 FCR 19,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ჰაარი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Maldon Nominees-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(2000) 184 ALR 83,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ტრევერტსი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ახალი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სამხრეთ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უელსის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(2001) 163 FLR 99,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მაკენზი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ურბანული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სერვისების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დეპარტამენტის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(2001) 163 FLR 133,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ობეროი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ადამიანის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უფლებათა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თანაბარი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შესაძლებლობების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კომისიის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(1995) EOC 92-714,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შიჰანი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Tin Can Bay-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კლუბის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(2002) FMCA 95,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რენდალი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შპს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კონსოლიდირებული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საკისრების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კომპანიის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(SA) Pty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(2002) FMCA 44,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ფორბსი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ავსტრალიური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ფედერალური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პოლიციის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(2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003) FMCA 140,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მაკბრაიდი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ვიქტორიას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(N. 1)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(2003) FMCA 285,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ბასანელი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QBE Insurance-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(2003) FMCA 412,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QBE Travel Insurance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ბასანელი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(2004) 137 FCR 88,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დარლინგტონი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CASCO-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(2002) FMCA 176,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კლარკი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კათოლიკური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განათლების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ოფისის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(2003) 202 ALR 340,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ფაუერი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შპს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Aboriginal Hostels-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(2004) FMCA 452,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ტრინდალი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ახალი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სამხრეთ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უელსის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პოლიციის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კომისრის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(2005) FMCA 2,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ჰარსტი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დევლინი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 Education Queensland-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(2005) FCA 405,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დრარი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შპს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Andreco Hurll Refractory Services Pty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(N. 4)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(2005) FMCA 1226,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უიგინსი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თავდაცვის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დეპარტამენტის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-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საზღვაო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ძალების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(N. 3)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(2006) FMCA 970,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ვიკერსი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ახალი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სამხრეთ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უელსის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სასწრაფო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დახმარების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სერვისების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(2006) FMCA 1232, </w:t>
      </w:r>
      <w:r>
        <w:rPr>
          <w:rFonts w:ascii="Merriweather" w:eastAsia="Merriweather" w:hAnsi="Merriweather" w:cs="Merriweather"/>
          <w:i/>
          <w:color w:val="000000"/>
          <w:sz w:val="18"/>
          <w:szCs w:val="18"/>
        </w:rPr>
        <w:t>Hurst v. Education Queensland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(2006) 151 FCR 562,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როუკლიფი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ჩრდილო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სიდნეის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ცენტრალური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სანაპირო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ზონის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ჯანმრთელობის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სერვისების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(2007) FMCA 931,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გორდონი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ავსტრალიის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თანამეგობრობის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(2008) FCA 603,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მაქსუორთი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შოუს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(2010) FMCA 1014,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ინესი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ჩრდილო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სამხრეთ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უელსის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სარკინიგზო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კორპორაციის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(N. 2)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(2013) (FMCA) 36,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სტივენს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საიდბოთომი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ვიქტორიის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შტატის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(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განათლებისა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ბავშვთა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ადრეული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განვითარებით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დეპარტამენტი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)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(2011) FCA 893,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მაკკენა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რეიდი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რიგოს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(2011) FCA 883,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კლარკი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კათოლიკური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განათლების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ოფისისა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სხვის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(2003) FCA 1085,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ჰაარი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Maldon Nominee-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(2000) FMCA 5,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Access  for All Alliance Inc Hervey Bay-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გამგეობის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(2004) FMCA 915.</w:t>
      </w:r>
      <w:r>
        <w:rPr>
          <w:color w:val="000000"/>
          <w:sz w:val="18"/>
          <w:szCs w:val="18"/>
        </w:rPr>
        <w:t xml:space="preserve"> </w:t>
      </w:r>
    </w:p>
  </w:footnote>
  <w:footnote w:id="11">
    <w:p w14:paraId="1EABD607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No. 9/1997,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.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შვედეთის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დაუშვებლობის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მიღებულია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1998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17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აგვისტოს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6.4. </w:t>
      </w:r>
    </w:p>
  </w:footnote>
  <w:footnote w:id="12">
    <w:p w14:paraId="413E9BB1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900/1999,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ავსტრალიის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მიღებულია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2002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28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7.3. </w:t>
      </w:r>
    </w:p>
  </w:footnote>
  <w:footnote w:id="13">
    <w:p w14:paraId="19E7A447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ზრუნვისა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ადმინისტრირების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აქტი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განრიგი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სექცია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 (o). </w:t>
      </w:r>
    </w:p>
  </w:footnote>
  <w:footnote w:id="14">
    <w:p w14:paraId="6695FC80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3 (1990)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მხარეების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ვალდებულებების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9. </w:t>
      </w:r>
    </w:p>
  </w:footnote>
  <w:footnote w:id="15">
    <w:p w14:paraId="2304A9FF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წერილი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დათარიღებულია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2012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16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მაისით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რომელშიც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თავმჯდომარემ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მიმართა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საერთაშორისო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პაქტის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</w:footnote>
  <w:footnote w:id="16">
    <w:p w14:paraId="04FA59E8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მიუთი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შეტყობინებაზე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69.3. </w:t>
      </w:r>
    </w:p>
  </w:footnote>
  <w:footnote w:id="17">
    <w:p w14:paraId="1357CA96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მიუთითებს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ეკონომიკური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კულტურული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ზოგად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კომენტარზე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4 (1991)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საცხოვრებლის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</w:footnote>
  <w:footnote w:id="18">
    <w:p w14:paraId="2A03A3E7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560/1993,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ავ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სტრალიის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მიღებულია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1997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აპრილს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9.2. </w:t>
      </w:r>
    </w:p>
  </w:footnote>
  <w:footnote w:id="19">
    <w:p w14:paraId="68B38C5D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27 (1999)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გადაადგილების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თავისუფლებასთან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1. </w:t>
      </w:r>
    </w:p>
  </w:footnote>
  <w:footnote w:id="20">
    <w:p w14:paraId="4B1CB582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იქვე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4. </w:t>
      </w:r>
    </w:p>
  </w:footnote>
  <w:footnote w:id="21">
    <w:p w14:paraId="276C2162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16 (1988)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პრივატულობის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უფლებასთან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დაკა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ვშირებით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3. </w:t>
      </w:r>
    </w:p>
  </w:footnote>
  <w:footnote w:id="22">
    <w:p w14:paraId="7A496851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იქვე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8. </w:t>
      </w:r>
    </w:p>
  </w:footnote>
  <w:footnote w:id="23">
    <w:p w14:paraId="6D33E2B6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მანფრედ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ნოუაკი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გაეროს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პაქტი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სამოქალაქო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პოლიტიკური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უფლებების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შესახებ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: CCPR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კომენტარი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ენგელ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2005),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 400.</w:t>
      </w:r>
      <w:r>
        <w:rPr>
          <w:color w:val="000000"/>
          <w:sz w:val="18"/>
          <w:szCs w:val="18"/>
        </w:rPr>
        <w:t xml:space="preserve"> </w:t>
      </w:r>
    </w:p>
  </w:footnote>
  <w:footnote w:id="24">
    <w:p w14:paraId="7A8D408C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ავსტრალია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ავსტრალიის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ჯანმრთელობისა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კეთილდღეობის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ინსტიტუტი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, 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მხარდაჭერის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სერვისები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ეროვნული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ხელშეკრულების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ფარგლებში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გაწეული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მომსახურებები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2012-2013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წლებში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“,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ბიულეტინი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122 (2014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ივლისი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2. </w:t>
      </w:r>
    </w:p>
  </w:footnote>
  <w:footnote w:id="25">
    <w:p w14:paraId="17F2325F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ქუ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ინსლენდის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მთავრობა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, 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ქუინსლენდის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გეგმა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2014-2019: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არჩევნებისა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შესაძლებლობების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მხარდაჭერა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“ (2013),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 7.</w:t>
      </w:r>
      <w:r>
        <w:rPr>
          <w:color w:val="000000"/>
          <w:sz w:val="18"/>
          <w:szCs w:val="18"/>
        </w:rPr>
        <w:t xml:space="preserve"> </w:t>
      </w:r>
    </w:p>
  </w:footnote>
  <w:footnote w:id="26">
    <w:p w14:paraId="41833590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სატელეფონო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საუბარში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აცნობა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პირადი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მიზეზების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გამო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მეტი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კომენტარის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მიცემული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დროის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ფარგლებში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გაკეთების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მდგომარეობაში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კიდევ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ერთხელ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გაიმეორა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გაკეთებული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საჩივარის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შინაარსი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</w:footnote>
  <w:footnote w:id="27">
    <w:p w14:paraId="61AAA0FD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მაგალთად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ადამიანის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უფლებათა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1511/2006,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გარსია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პერეა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გარსია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პერეა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ესპანეთის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გამოცხადდა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2009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27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მარ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ტს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6.2;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N. 2325/2013,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კანდემ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ფოუმბი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კამერუნის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გამოცხადდა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2014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28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ნაწილი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8.4 </w:t>
      </w:r>
    </w:p>
  </w:footnote>
  <w:footnote w:id="28">
    <w:p w14:paraId="69EEF548" w14:textId="77777777" w:rsidR="00E43975" w:rsidRDefault="006D1F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იხ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8.</w:t>
      </w:r>
      <w:r>
        <w:rPr>
          <w:color w:val="000000"/>
          <w:sz w:val="18"/>
          <w:szCs w:val="18"/>
        </w:rPr>
        <w:t xml:space="preserve"> </w:t>
      </w:r>
    </w:p>
    <w:p w14:paraId="0F44B02A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5926E90A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4C6FDCC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21035ACC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8BEF5DD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70EAEA23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7F252C29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501C0D04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5F2C307D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3D4D03AD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E92DCA3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73273C6B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345C198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6620AD46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0EA43418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C6F3224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60E37C79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22B0F4B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8F661DA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3F14A51D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60F16DD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5BECE125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29861F83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9739A9E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02FF5174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7E48F82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366222D4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6DDEFD20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EA193DC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37B233AB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A74EB4E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0273F46B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3574619F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4CD1E5CF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2B6A06E6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1D977116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  <w:p w14:paraId="55DA1010" w14:textId="77777777" w:rsidR="00E43975" w:rsidRDefault="00E439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1"/>
          <w:tab w:val="right" w:pos="1020"/>
        </w:tabs>
        <w:spacing w:line="220" w:lineRule="auto"/>
        <w:ind w:left="1134" w:right="1134" w:hanging="1134"/>
        <w:rPr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8327" w14:textId="77777777" w:rsidR="00E43975" w:rsidRDefault="006D1F44">
    <w:pPr>
      <w:pBdr>
        <w:top w:val="nil"/>
        <w:left w:val="nil"/>
        <w:bottom w:val="single" w:sz="4" w:space="4" w:color="000000"/>
        <w:right w:val="nil"/>
        <w:between w:val="nil"/>
      </w:pBdr>
      <w:spacing w:line="240" w:lineRule="auto"/>
      <w:rPr>
        <w:rFonts w:ascii="Merriweather" w:eastAsia="Merriweather" w:hAnsi="Merriweather" w:cs="Merriweather"/>
        <w:b/>
        <w:color w:val="000000"/>
        <w:sz w:val="18"/>
        <w:szCs w:val="18"/>
      </w:rPr>
    </w:pPr>
    <w:r>
      <w:rPr>
        <w:rFonts w:ascii="Merriweather" w:eastAsia="Merriweather" w:hAnsi="Merriweather" w:cs="Merriweather"/>
        <w:b/>
        <w:color w:val="000000"/>
        <w:sz w:val="18"/>
        <w:szCs w:val="18"/>
      </w:rPr>
      <w:t>CRPD/C/17/D/14/2013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254" w14:textId="77777777" w:rsidR="00E43975" w:rsidRDefault="006D1F44">
    <w:pPr>
      <w:pBdr>
        <w:top w:val="nil"/>
        <w:left w:val="nil"/>
        <w:bottom w:val="single" w:sz="4" w:space="4" w:color="000000"/>
        <w:right w:val="nil"/>
        <w:between w:val="nil"/>
      </w:pBdr>
      <w:spacing w:line="240" w:lineRule="auto"/>
      <w:jc w:val="right"/>
      <w:rPr>
        <w:rFonts w:ascii="Merriweather" w:eastAsia="Merriweather" w:hAnsi="Merriweather" w:cs="Merriweather"/>
        <w:b/>
        <w:color w:val="000000"/>
        <w:sz w:val="18"/>
        <w:szCs w:val="18"/>
      </w:rPr>
    </w:pPr>
    <w:r>
      <w:rPr>
        <w:rFonts w:ascii="Merriweather" w:eastAsia="Merriweather" w:hAnsi="Merriweather" w:cs="Merriweather"/>
        <w:b/>
        <w:color w:val="000000"/>
        <w:sz w:val="18"/>
        <w:szCs w:val="18"/>
      </w:rPr>
      <w:t>CRPD/C/17/D/14/2013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2D84"/>
    <w:multiLevelType w:val="multilevel"/>
    <w:tmpl w:val="C346E630"/>
    <w:lvl w:ilvl="0">
      <w:start w:val="1"/>
      <w:numFmt w:val="decimal"/>
      <w:lvlText w:val="%1."/>
      <w:lvlJc w:val="left"/>
      <w:pPr>
        <w:ind w:left="1704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75"/>
    <w:rsid w:val="00332ABC"/>
    <w:rsid w:val="006D1F44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6443AD"/>
  <w15:docId w15:val="{1B84DA68-8825-714F-99D7-5A6AC3B3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ind w:left="1134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9268</Words>
  <Characters>49496</Characters>
  <Application>Microsoft Office Word</Application>
  <DocSecurity>0</DocSecurity>
  <Lines>727</Lines>
  <Paragraphs>127</Paragraphs>
  <ScaleCrop>false</ScaleCrop>
  <Company/>
  <LinksUpToDate>false</LinksUpToDate>
  <CharactersWithSpaces>58637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cilmicrosoftoffice</cp:lastModifiedBy>
  <cp:revision>2</cp:revision>
  <dcterms:created xsi:type="dcterms:W3CDTF">2022-11-18T10:03:00Z</dcterms:created>
  <dcterms:modified xsi:type="dcterms:W3CDTF">2022-11-18T10:03:00Z</dcterms:modified>
</cp:coreProperties>
</file>